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7936D3">
      <w:pPr>
        <w:spacing w:line="360" w:lineRule="auto"/>
        <w:jc w:val="center"/>
        <w:outlineLvl w:val="9"/>
        <w:rPr>
          <w:rFonts w:hAnsi="宋体" w:cs="宋体"/>
          <w:sz w:val="28"/>
          <w:szCs w:val="28"/>
        </w:rPr>
      </w:pPr>
      <w:bookmarkStart w:id="0" w:name="_Toc287602110"/>
    </w:p>
    <w:p w14:paraId="07E6B253">
      <w:pPr>
        <w:spacing w:line="360" w:lineRule="auto"/>
        <w:jc w:val="center"/>
        <w:outlineLvl w:val="9"/>
        <w:rPr>
          <w:rFonts w:hAnsi="宋体" w:cs="宋体"/>
          <w:sz w:val="28"/>
          <w:szCs w:val="28"/>
        </w:rPr>
      </w:pPr>
    </w:p>
    <w:p w14:paraId="70AE2BF9">
      <w:pPr>
        <w:spacing w:line="360" w:lineRule="auto"/>
        <w:jc w:val="center"/>
        <w:rPr>
          <w:rFonts w:hAnsi="宋体" w:cs="宋体"/>
          <w:sz w:val="160"/>
          <w:szCs w:val="160"/>
        </w:rPr>
      </w:pPr>
      <w:r>
        <w:rPr>
          <w:rFonts w:hint="eastAsia" w:hAnsi="宋体" w:cs="宋体"/>
          <w:sz w:val="160"/>
          <w:szCs w:val="160"/>
        </w:rPr>
        <w:t>遴选文件</w:t>
      </w:r>
    </w:p>
    <w:p w14:paraId="74CFD111">
      <w:pPr>
        <w:spacing w:line="360" w:lineRule="auto"/>
        <w:jc w:val="center"/>
        <w:rPr>
          <w:rFonts w:hAnsi="宋体" w:cs="宋体"/>
          <w:sz w:val="28"/>
          <w:szCs w:val="28"/>
        </w:rPr>
      </w:pPr>
    </w:p>
    <w:p w14:paraId="612CB46C">
      <w:pPr>
        <w:spacing w:line="360" w:lineRule="auto"/>
        <w:rPr>
          <w:rFonts w:hAnsi="宋体" w:cs="宋体"/>
          <w:b/>
          <w:sz w:val="40"/>
          <w:szCs w:val="40"/>
        </w:rPr>
      </w:pPr>
      <w:bookmarkStart w:id="1" w:name="_Toc19113853"/>
      <w:bookmarkStart w:id="2" w:name="_Toc19115519"/>
    </w:p>
    <w:p w14:paraId="3DC9D8BD">
      <w:pPr>
        <w:spacing w:line="700" w:lineRule="exact"/>
        <w:ind w:left="282" w:leftChars="83"/>
        <w:jc w:val="center"/>
        <w:rPr>
          <w:rFonts w:eastAsia="方正小标宋_GBK"/>
          <w:sz w:val="36"/>
          <w:szCs w:val="30"/>
        </w:rPr>
      </w:pPr>
      <w:r>
        <w:rPr>
          <w:rFonts w:hint="eastAsia" w:hAnsi="宋体" w:cs="宋体"/>
          <w:b/>
          <w:spacing w:val="-28"/>
          <w:sz w:val="40"/>
          <w:szCs w:val="40"/>
        </w:rPr>
        <w:t>项目名称：</w:t>
      </w:r>
      <w:bookmarkEnd w:id="1"/>
      <w:bookmarkEnd w:id="2"/>
      <w:bookmarkStart w:id="3" w:name="_Toc19115520"/>
      <w:bookmarkStart w:id="4" w:name="_Toc19113854"/>
      <w:r>
        <w:rPr>
          <w:rFonts w:hint="eastAsia" w:hAnsi="宋体" w:cs="宋体"/>
          <w:b/>
          <w:spacing w:val="-28"/>
          <w:sz w:val="40"/>
          <w:szCs w:val="40"/>
        </w:rPr>
        <w:t>重庆市黔江中心医院消防维保服务项目</w:t>
      </w:r>
    </w:p>
    <w:p w14:paraId="649C9A2F">
      <w:pPr>
        <w:spacing w:line="700" w:lineRule="exact"/>
        <w:ind w:firstLine="2160" w:firstLineChars="600"/>
        <w:jc w:val="both"/>
        <w:rPr>
          <w:rFonts w:hint="default" w:eastAsia="方正小标宋_GBK"/>
          <w:b w:val="0"/>
          <w:sz w:val="36"/>
          <w:szCs w:val="30"/>
          <w:lang w:val="en-US" w:eastAsia="zh-CN"/>
        </w:rPr>
      </w:pPr>
      <w:r>
        <w:rPr>
          <w:rFonts w:hint="eastAsia" w:eastAsia="方正小标宋_GBK"/>
          <w:b w:val="0"/>
          <w:sz w:val="36"/>
          <w:szCs w:val="30"/>
          <w:lang w:eastAsia="zh-CN"/>
        </w:rPr>
        <w:t>项目编号：QJZXYYCG-2026-</w:t>
      </w:r>
      <w:r>
        <w:rPr>
          <w:rFonts w:hint="eastAsia" w:eastAsia="方正小标宋_GBK"/>
          <w:b w:val="0"/>
          <w:sz w:val="36"/>
          <w:szCs w:val="30"/>
          <w:lang w:val="en-US" w:eastAsia="zh-CN"/>
        </w:rPr>
        <w:t>31</w:t>
      </w:r>
    </w:p>
    <w:p w14:paraId="6F0FBDCA">
      <w:pPr>
        <w:spacing w:line="360" w:lineRule="auto"/>
        <w:jc w:val="center"/>
        <w:rPr>
          <w:rFonts w:hAnsi="宋体" w:cs="宋体"/>
          <w:b/>
          <w:spacing w:val="-28"/>
          <w:sz w:val="40"/>
          <w:szCs w:val="40"/>
        </w:rPr>
      </w:pPr>
    </w:p>
    <w:p w14:paraId="6F944A57">
      <w:pPr>
        <w:pStyle w:val="24"/>
        <w:rPr>
          <w:rFonts w:hAnsi="宋体" w:cs="宋体"/>
          <w:b/>
          <w:sz w:val="40"/>
          <w:szCs w:val="40"/>
        </w:rPr>
      </w:pPr>
    </w:p>
    <w:p w14:paraId="1588BF86">
      <w:pPr>
        <w:pStyle w:val="24"/>
        <w:rPr>
          <w:rFonts w:hAnsi="宋体" w:cs="宋体"/>
          <w:b/>
          <w:sz w:val="40"/>
          <w:szCs w:val="40"/>
        </w:rPr>
      </w:pPr>
    </w:p>
    <w:p w14:paraId="31D0544F">
      <w:pPr>
        <w:pStyle w:val="24"/>
        <w:rPr>
          <w:rFonts w:hAnsi="宋体" w:cs="宋体"/>
          <w:b/>
          <w:sz w:val="40"/>
          <w:szCs w:val="40"/>
        </w:rPr>
      </w:pPr>
    </w:p>
    <w:p w14:paraId="78FCEEEE">
      <w:pPr>
        <w:pStyle w:val="15"/>
        <w:rPr>
          <w:rFonts w:hAnsi="宋体" w:cs="宋体"/>
          <w:b/>
          <w:sz w:val="40"/>
          <w:szCs w:val="40"/>
        </w:rPr>
      </w:pPr>
    </w:p>
    <w:p w14:paraId="58E21FA0">
      <w:pPr>
        <w:pStyle w:val="15"/>
        <w:rPr>
          <w:rFonts w:hAnsi="宋体" w:cs="宋体"/>
          <w:b/>
          <w:sz w:val="40"/>
          <w:szCs w:val="40"/>
        </w:rPr>
      </w:pPr>
    </w:p>
    <w:p w14:paraId="171E7CDA">
      <w:pPr>
        <w:pStyle w:val="24"/>
        <w:rPr>
          <w:rFonts w:hAnsi="宋体" w:cs="宋体"/>
          <w:b/>
          <w:sz w:val="40"/>
          <w:szCs w:val="40"/>
        </w:rPr>
      </w:pPr>
    </w:p>
    <w:bookmarkEnd w:id="3"/>
    <w:bookmarkEnd w:id="4"/>
    <w:p w14:paraId="617586F1">
      <w:pPr>
        <w:spacing w:line="360" w:lineRule="auto"/>
        <w:jc w:val="center"/>
        <w:rPr>
          <w:rFonts w:hint="eastAsia" w:hAnsi="宋体" w:cs="宋体"/>
          <w:b/>
          <w:sz w:val="36"/>
          <w:szCs w:val="36"/>
        </w:rPr>
      </w:pPr>
      <w:r>
        <w:rPr>
          <w:rFonts w:hint="eastAsia" w:hAnsi="宋体" w:cs="宋体"/>
          <w:b/>
          <w:sz w:val="36"/>
          <w:szCs w:val="36"/>
        </w:rPr>
        <w:t>采购人：重庆市黔江中心医院</w:t>
      </w:r>
    </w:p>
    <w:p w14:paraId="7D1FB969"/>
    <w:p w14:paraId="36033672">
      <w:pPr>
        <w:pStyle w:val="2"/>
        <w:spacing w:line="360" w:lineRule="auto"/>
        <w:outlineLvl w:val="9"/>
        <w:rPr>
          <w:rFonts w:hint="eastAsia" w:hAnsi="宋体" w:cs="宋体"/>
          <w:sz w:val="24"/>
          <w:szCs w:val="24"/>
        </w:rPr>
      </w:pPr>
      <w:r>
        <w:rPr>
          <w:rFonts w:hint="eastAsia" w:hAnsi="宋体" w:cs="宋体"/>
          <w:b/>
          <w:sz w:val="36"/>
          <w:szCs w:val="36"/>
          <w:lang w:val="en-US" w:eastAsia="zh-CN"/>
        </w:rPr>
        <w:t>遴选</w:t>
      </w:r>
      <w:r>
        <w:rPr>
          <w:rFonts w:hint="eastAsia" w:hAnsi="宋体" w:cs="宋体"/>
          <w:b/>
          <w:sz w:val="36"/>
          <w:szCs w:val="36"/>
        </w:rPr>
        <w:t>代理机构：重庆市科成工程建设监理有限公司</w:t>
      </w:r>
      <w:r>
        <w:rPr>
          <w:rFonts w:hint="eastAsia" w:hAnsi="宋体" w:cs="宋体"/>
          <w:sz w:val="24"/>
          <w:szCs w:val="24"/>
        </w:rPr>
        <w:br w:type="page"/>
      </w:r>
      <w:bookmarkStart w:id="5" w:name="_Toc19113855"/>
    </w:p>
    <w:sdt>
      <w:sdtPr>
        <w:rPr>
          <w:rFonts w:ascii="宋体" w:hAnsi="宋体" w:eastAsia="宋体" w:cs="Times New Roman"/>
          <w:sz w:val="21"/>
          <w:lang w:val="en-US" w:eastAsia="zh-CN" w:bidi="ar-SA"/>
        </w:rPr>
        <w:id w:val="147453560"/>
        <w15:color w:val="DBDBDB"/>
        <w:docPartObj>
          <w:docPartGallery w:val="Table of Contents"/>
          <w:docPartUnique/>
        </w:docPartObj>
      </w:sdtPr>
      <w:sdtEndPr>
        <w:rPr>
          <w:rFonts w:ascii="宋体" w:hAnsi="宋体" w:eastAsia="宋体" w:cs="Times New Roman"/>
          <w:sz w:val="21"/>
          <w:lang w:val="en-US" w:eastAsia="zh-CN" w:bidi="ar-SA"/>
        </w:rPr>
      </w:sdtEndPr>
      <w:sdtContent>
        <w:p w14:paraId="6A7055BA">
          <w:pPr>
            <w:spacing w:before="0" w:beforeLines="0" w:after="0" w:afterLines="0" w:line="240" w:lineRule="auto"/>
            <w:ind w:left="0" w:leftChars="0" w:right="0" w:rightChars="0" w:firstLine="0" w:firstLineChars="0"/>
            <w:jc w:val="center"/>
          </w:pPr>
          <w:r>
            <w:rPr>
              <w:rFonts w:ascii="宋体" w:hAnsi="宋体" w:eastAsia="宋体"/>
              <w:sz w:val="21"/>
            </w:rPr>
            <w:t>目录</w:t>
          </w:r>
        </w:p>
        <w:p w14:paraId="6406D270">
          <w:pPr>
            <w:pStyle w:val="38"/>
            <w:tabs>
              <w:tab w:val="right" w:leader="dot" w:pos="9639"/>
            </w:tabs>
            <w:rPr>
              <w:sz w:val="24"/>
              <w:szCs w:val="24"/>
            </w:rPr>
          </w:pPr>
          <w:r>
            <w:fldChar w:fldCharType="begin"/>
          </w:r>
          <w:r>
            <w:instrText xml:space="preserve">TOC \o "1-3" \h \u </w:instrText>
          </w:r>
          <w:r>
            <w:fldChar w:fldCharType="separate"/>
          </w:r>
          <w:r>
            <w:rPr>
              <w:sz w:val="24"/>
              <w:szCs w:val="24"/>
            </w:rPr>
            <w:fldChar w:fldCharType="begin"/>
          </w:r>
          <w:r>
            <w:rPr>
              <w:sz w:val="24"/>
              <w:szCs w:val="24"/>
            </w:rPr>
            <w:instrText xml:space="preserve"> HYPERLINK \l _Toc4179 </w:instrText>
          </w:r>
          <w:r>
            <w:rPr>
              <w:sz w:val="24"/>
              <w:szCs w:val="24"/>
            </w:rPr>
            <w:fldChar w:fldCharType="separate"/>
          </w:r>
          <w:r>
            <w:rPr>
              <w:rFonts w:hint="eastAsia" w:ascii="方正黑体_GBK" w:hAnsi="方正黑体_GBK" w:eastAsia="方正黑体_GBK" w:cs="方正黑体_GBK"/>
              <w:bCs w:val="0"/>
              <w:kern w:val="0"/>
              <w:sz w:val="24"/>
              <w:szCs w:val="24"/>
            </w:rPr>
            <w:t>一、项目内容</w:t>
          </w:r>
          <w:r>
            <w:rPr>
              <w:sz w:val="24"/>
              <w:szCs w:val="24"/>
            </w:rPr>
            <w:tab/>
          </w:r>
          <w:r>
            <w:rPr>
              <w:sz w:val="24"/>
              <w:szCs w:val="24"/>
            </w:rPr>
            <w:fldChar w:fldCharType="begin"/>
          </w:r>
          <w:r>
            <w:rPr>
              <w:sz w:val="24"/>
              <w:szCs w:val="24"/>
            </w:rPr>
            <w:instrText xml:space="preserve"> PAGEREF _Toc4179 \h </w:instrText>
          </w:r>
          <w:r>
            <w:rPr>
              <w:sz w:val="24"/>
              <w:szCs w:val="24"/>
            </w:rPr>
            <w:fldChar w:fldCharType="separate"/>
          </w:r>
          <w:r>
            <w:rPr>
              <w:sz w:val="24"/>
              <w:szCs w:val="24"/>
            </w:rPr>
            <w:t>5</w:t>
          </w:r>
          <w:r>
            <w:rPr>
              <w:sz w:val="24"/>
              <w:szCs w:val="24"/>
            </w:rPr>
            <w:fldChar w:fldCharType="end"/>
          </w:r>
          <w:r>
            <w:rPr>
              <w:sz w:val="24"/>
              <w:szCs w:val="24"/>
            </w:rPr>
            <w:fldChar w:fldCharType="end"/>
          </w:r>
        </w:p>
        <w:p w14:paraId="3E97BC37">
          <w:pPr>
            <w:pStyle w:val="38"/>
            <w:tabs>
              <w:tab w:val="right" w:leader="dot" w:pos="9639"/>
            </w:tabs>
            <w:rPr>
              <w:sz w:val="24"/>
              <w:szCs w:val="24"/>
            </w:rPr>
          </w:pPr>
          <w:r>
            <w:rPr>
              <w:sz w:val="24"/>
              <w:szCs w:val="24"/>
            </w:rPr>
            <w:fldChar w:fldCharType="begin"/>
          </w:r>
          <w:r>
            <w:rPr>
              <w:sz w:val="24"/>
              <w:szCs w:val="24"/>
            </w:rPr>
            <w:instrText xml:space="preserve"> HYPERLINK \l _Toc31790 </w:instrText>
          </w:r>
          <w:r>
            <w:rPr>
              <w:sz w:val="24"/>
              <w:szCs w:val="24"/>
            </w:rPr>
            <w:fldChar w:fldCharType="separate"/>
          </w:r>
          <w:r>
            <w:rPr>
              <w:rFonts w:hint="eastAsia" w:ascii="方正黑体_GBK" w:hAnsi="方正仿宋_GBK" w:eastAsia="方正黑体_GBK" w:cs="方正仿宋_GBK"/>
              <w:bCs w:val="0"/>
              <w:kern w:val="0"/>
              <w:sz w:val="24"/>
              <w:szCs w:val="24"/>
            </w:rPr>
            <w:t>二、 资金来源</w:t>
          </w:r>
          <w:r>
            <w:rPr>
              <w:sz w:val="24"/>
              <w:szCs w:val="24"/>
            </w:rPr>
            <w:tab/>
          </w:r>
          <w:r>
            <w:rPr>
              <w:sz w:val="24"/>
              <w:szCs w:val="24"/>
            </w:rPr>
            <w:fldChar w:fldCharType="begin"/>
          </w:r>
          <w:r>
            <w:rPr>
              <w:sz w:val="24"/>
              <w:szCs w:val="24"/>
            </w:rPr>
            <w:instrText xml:space="preserve"> PAGEREF _Toc31790 \h </w:instrText>
          </w:r>
          <w:r>
            <w:rPr>
              <w:sz w:val="24"/>
              <w:szCs w:val="24"/>
            </w:rPr>
            <w:fldChar w:fldCharType="separate"/>
          </w:r>
          <w:r>
            <w:rPr>
              <w:sz w:val="24"/>
              <w:szCs w:val="24"/>
            </w:rPr>
            <w:t>5</w:t>
          </w:r>
          <w:r>
            <w:rPr>
              <w:sz w:val="24"/>
              <w:szCs w:val="24"/>
            </w:rPr>
            <w:fldChar w:fldCharType="end"/>
          </w:r>
          <w:r>
            <w:rPr>
              <w:sz w:val="24"/>
              <w:szCs w:val="24"/>
            </w:rPr>
            <w:fldChar w:fldCharType="end"/>
          </w:r>
        </w:p>
        <w:p w14:paraId="7B71EAFB">
          <w:pPr>
            <w:pStyle w:val="38"/>
            <w:tabs>
              <w:tab w:val="right" w:leader="dot" w:pos="9639"/>
            </w:tabs>
            <w:rPr>
              <w:sz w:val="24"/>
              <w:szCs w:val="24"/>
            </w:rPr>
          </w:pPr>
          <w:r>
            <w:rPr>
              <w:sz w:val="24"/>
              <w:szCs w:val="24"/>
            </w:rPr>
            <w:fldChar w:fldCharType="begin"/>
          </w:r>
          <w:r>
            <w:rPr>
              <w:sz w:val="24"/>
              <w:szCs w:val="24"/>
            </w:rPr>
            <w:instrText xml:space="preserve"> HYPERLINK \l _Toc19063 </w:instrText>
          </w:r>
          <w:r>
            <w:rPr>
              <w:sz w:val="24"/>
              <w:szCs w:val="24"/>
            </w:rPr>
            <w:fldChar w:fldCharType="separate"/>
          </w:r>
          <w:r>
            <w:rPr>
              <w:rFonts w:hint="eastAsia" w:ascii="方正黑体_GBK" w:hAnsi="方正仿宋_GBK" w:eastAsia="方正黑体_GBK" w:cs="方正仿宋_GBK"/>
              <w:bCs w:val="0"/>
              <w:kern w:val="0"/>
              <w:sz w:val="24"/>
              <w:szCs w:val="24"/>
            </w:rPr>
            <w:t>三、采购方式：院内遴选</w:t>
          </w:r>
          <w:r>
            <w:rPr>
              <w:sz w:val="24"/>
              <w:szCs w:val="24"/>
            </w:rPr>
            <w:tab/>
          </w:r>
          <w:r>
            <w:rPr>
              <w:sz w:val="24"/>
              <w:szCs w:val="24"/>
            </w:rPr>
            <w:fldChar w:fldCharType="begin"/>
          </w:r>
          <w:r>
            <w:rPr>
              <w:sz w:val="24"/>
              <w:szCs w:val="24"/>
            </w:rPr>
            <w:instrText xml:space="preserve"> PAGEREF _Toc19063 \h </w:instrText>
          </w:r>
          <w:r>
            <w:rPr>
              <w:sz w:val="24"/>
              <w:szCs w:val="24"/>
            </w:rPr>
            <w:fldChar w:fldCharType="separate"/>
          </w:r>
          <w:r>
            <w:rPr>
              <w:sz w:val="24"/>
              <w:szCs w:val="24"/>
            </w:rPr>
            <w:t>5</w:t>
          </w:r>
          <w:r>
            <w:rPr>
              <w:sz w:val="24"/>
              <w:szCs w:val="24"/>
            </w:rPr>
            <w:fldChar w:fldCharType="end"/>
          </w:r>
          <w:r>
            <w:rPr>
              <w:sz w:val="24"/>
              <w:szCs w:val="24"/>
            </w:rPr>
            <w:fldChar w:fldCharType="end"/>
          </w:r>
        </w:p>
        <w:p w14:paraId="02455A5B">
          <w:pPr>
            <w:pStyle w:val="38"/>
            <w:tabs>
              <w:tab w:val="right" w:leader="dot" w:pos="9639"/>
            </w:tabs>
            <w:rPr>
              <w:sz w:val="24"/>
              <w:szCs w:val="24"/>
            </w:rPr>
          </w:pPr>
          <w:r>
            <w:rPr>
              <w:sz w:val="24"/>
              <w:szCs w:val="24"/>
            </w:rPr>
            <w:fldChar w:fldCharType="begin"/>
          </w:r>
          <w:r>
            <w:rPr>
              <w:sz w:val="24"/>
              <w:szCs w:val="24"/>
            </w:rPr>
            <w:instrText xml:space="preserve"> HYPERLINK \l _Toc13955 </w:instrText>
          </w:r>
          <w:r>
            <w:rPr>
              <w:sz w:val="24"/>
              <w:szCs w:val="24"/>
            </w:rPr>
            <w:fldChar w:fldCharType="separate"/>
          </w:r>
          <w:r>
            <w:rPr>
              <w:rFonts w:hint="eastAsia" w:ascii="方正黑体_GBK" w:hAnsi="方正仿宋_GBK" w:eastAsia="方正黑体_GBK" w:cs="方正仿宋_GBK"/>
              <w:bCs w:val="0"/>
              <w:kern w:val="0"/>
              <w:sz w:val="24"/>
              <w:szCs w:val="24"/>
            </w:rPr>
            <w:t>四、投标人资格要求</w:t>
          </w:r>
          <w:r>
            <w:rPr>
              <w:sz w:val="24"/>
              <w:szCs w:val="24"/>
            </w:rPr>
            <w:tab/>
          </w:r>
          <w:r>
            <w:rPr>
              <w:sz w:val="24"/>
              <w:szCs w:val="24"/>
            </w:rPr>
            <w:fldChar w:fldCharType="begin"/>
          </w:r>
          <w:r>
            <w:rPr>
              <w:sz w:val="24"/>
              <w:szCs w:val="24"/>
            </w:rPr>
            <w:instrText xml:space="preserve"> PAGEREF _Toc13955 \h </w:instrText>
          </w:r>
          <w:r>
            <w:rPr>
              <w:sz w:val="24"/>
              <w:szCs w:val="24"/>
            </w:rPr>
            <w:fldChar w:fldCharType="separate"/>
          </w:r>
          <w:r>
            <w:rPr>
              <w:sz w:val="24"/>
              <w:szCs w:val="24"/>
            </w:rPr>
            <w:t>5</w:t>
          </w:r>
          <w:r>
            <w:rPr>
              <w:sz w:val="24"/>
              <w:szCs w:val="24"/>
            </w:rPr>
            <w:fldChar w:fldCharType="end"/>
          </w:r>
          <w:r>
            <w:rPr>
              <w:sz w:val="24"/>
              <w:szCs w:val="24"/>
            </w:rPr>
            <w:fldChar w:fldCharType="end"/>
          </w:r>
        </w:p>
        <w:p w14:paraId="5FCF33B9">
          <w:pPr>
            <w:pStyle w:val="46"/>
            <w:tabs>
              <w:tab w:val="right" w:leader="dot" w:pos="9639"/>
            </w:tabs>
            <w:rPr>
              <w:sz w:val="24"/>
              <w:szCs w:val="24"/>
            </w:rPr>
          </w:pPr>
          <w:r>
            <w:rPr>
              <w:sz w:val="24"/>
              <w:szCs w:val="24"/>
            </w:rPr>
            <w:fldChar w:fldCharType="begin"/>
          </w:r>
          <w:r>
            <w:rPr>
              <w:sz w:val="24"/>
              <w:szCs w:val="24"/>
            </w:rPr>
            <w:instrText xml:space="preserve"> HYPERLINK \l _Toc2137 </w:instrText>
          </w:r>
          <w:r>
            <w:rPr>
              <w:sz w:val="24"/>
              <w:szCs w:val="24"/>
            </w:rPr>
            <w:fldChar w:fldCharType="separate"/>
          </w:r>
          <w:r>
            <w:rPr>
              <w:rFonts w:hint="eastAsia" w:ascii="仿宋" w:hAnsi="仿宋" w:eastAsia="仿宋" w:cs="仿宋"/>
              <w:kern w:val="2"/>
              <w:sz w:val="24"/>
              <w:szCs w:val="24"/>
            </w:rPr>
            <w:t>（一）满足《中华人民共和国政府采购法》第二十二条规定。</w:t>
          </w:r>
          <w:r>
            <w:rPr>
              <w:sz w:val="24"/>
              <w:szCs w:val="24"/>
            </w:rPr>
            <w:tab/>
          </w:r>
          <w:r>
            <w:rPr>
              <w:sz w:val="24"/>
              <w:szCs w:val="24"/>
            </w:rPr>
            <w:fldChar w:fldCharType="begin"/>
          </w:r>
          <w:r>
            <w:rPr>
              <w:sz w:val="24"/>
              <w:szCs w:val="24"/>
            </w:rPr>
            <w:instrText xml:space="preserve"> PAGEREF _Toc2137 \h </w:instrText>
          </w:r>
          <w:r>
            <w:rPr>
              <w:sz w:val="24"/>
              <w:szCs w:val="24"/>
            </w:rPr>
            <w:fldChar w:fldCharType="separate"/>
          </w:r>
          <w:r>
            <w:rPr>
              <w:sz w:val="24"/>
              <w:szCs w:val="24"/>
            </w:rPr>
            <w:t>5</w:t>
          </w:r>
          <w:r>
            <w:rPr>
              <w:sz w:val="24"/>
              <w:szCs w:val="24"/>
            </w:rPr>
            <w:fldChar w:fldCharType="end"/>
          </w:r>
          <w:r>
            <w:rPr>
              <w:sz w:val="24"/>
              <w:szCs w:val="24"/>
            </w:rPr>
            <w:fldChar w:fldCharType="end"/>
          </w:r>
        </w:p>
        <w:p w14:paraId="4D065C74">
          <w:pPr>
            <w:pStyle w:val="46"/>
            <w:tabs>
              <w:tab w:val="right" w:leader="dot" w:pos="9639"/>
            </w:tabs>
            <w:rPr>
              <w:sz w:val="24"/>
              <w:szCs w:val="24"/>
            </w:rPr>
          </w:pPr>
          <w:r>
            <w:rPr>
              <w:sz w:val="24"/>
              <w:szCs w:val="24"/>
            </w:rPr>
            <w:fldChar w:fldCharType="begin"/>
          </w:r>
          <w:r>
            <w:rPr>
              <w:sz w:val="24"/>
              <w:szCs w:val="24"/>
            </w:rPr>
            <w:instrText xml:space="preserve"> HYPERLINK \l _Toc16597 </w:instrText>
          </w:r>
          <w:r>
            <w:rPr>
              <w:sz w:val="24"/>
              <w:szCs w:val="24"/>
            </w:rPr>
            <w:fldChar w:fldCharType="separate"/>
          </w:r>
          <w:r>
            <w:rPr>
              <w:rFonts w:hint="eastAsia" w:ascii="仿宋" w:hAnsi="仿宋" w:eastAsia="仿宋" w:cs="仿宋"/>
              <w:kern w:val="2"/>
              <w:sz w:val="24"/>
              <w:szCs w:val="24"/>
            </w:rPr>
            <w:t>（二）落实政府采购政策需满足的资格要求：无。</w:t>
          </w:r>
          <w:r>
            <w:rPr>
              <w:sz w:val="24"/>
              <w:szCs w:val="24"/>
            </w:rPr>
            <w:tab/>
          </w:r>
          <w:r>
            <w:rPr>
              <w:sz w:val="24"/>
              <w:szCs w:val="24"/>
            </w:rPr>
            <w:fldChar w:fldCharType="begin"/>
          </w:r>
          <w:r>
            <w:rPr>
              <w:sz w:val="24"/>
              <w:szCs w:val="24"/>
            </w:rPr>
            <w:instrText xml:space="preserve"> PAGEREF _Toc16597 \h </w:instrText>
          </w:r>
          <w:r>
            <w:rPr>
              <w:sz w:val="24"/>
              <w:szCs w:val="24"/>
            </w:rPr>
            <w:fldChar w:fldCharType="separate"/>
          </w:r>
          <w:r>
            <w:rPr>
              <w:sz w:val="24"/>
              <w:szCs w:val="24"/>
            </w:rPr>
            <w:t>5</w:t>
          </w:r>
          <w:r>
            <w:rPr>
              <w:sz w:val="24"/>
              <w:szCs w:val="24"/>
            </w:rPr>
            <w:fldChar w:fldCharType="end"/>
          </w:r>
          <w:r>
            <w:rPr>
              <w:sz w:val="24"/>
              <w:szCs w:val="24"/>
            </w:rPr>
            <w:fldChar w:fldCharType="end"/>
          </w:r>
        </w:p>
        <w:p w14:paraId="01EED53E">
          <w:pPr>
            <w:pStyle w:val="46"/>
            <w:tabs>
              <w:tab w:val="right" w:leader="dot" w:pos="9639"/>
            </w:tabs>
            <w:rPr>
              <w:sz w:val="24"/>
              <w:szCs w:val="24"/>
            </w:rPr>
          </w:pPr>
          <w:r>
            <w:rPr>
              <w:sz w:val="24"/>
              <w:szCs w:val="24"/>
            </w:rPr>
            <w:fldChar w:fldCharType="begin"/>
          </w:r>
          <w:r>
            <w:rPr>
              <w:sz w:val="24"/>
              <w:szCs w:val="24"/>
            </w:rPr>
            <w:instrText xml:space="preserve"> HYPERLINK \l _Toc32149 </w:instrText>
          </w:r>
          <w:r>
            <w:rPr>
              <w:sz w:val="24"/>
              <w:szCs w:val="24"/>
            </w:rPr>
            <w:fldChar w:fldCharType="separate"/>
          </w:r>
          <w:r>
            <w:rPr>
              <w:rFonts w:hint="eastAsia" w:ascii="仿宋" w:hAnsi="仿宋" w:eastAsia="仿宋" w:cs="仿宋"/>
              <w:kern w:val="2"/>
              <w:sz w:val="24"/>
              <w:szCs w:val="24"/>
            </w:rPr>
            <w:t>（三）本项目的特定资格要求：</w:t>
          </w:r>
          <w:r>
            <w:rPr>
              <w:sz w:val="24"/>
              <w:szCs w:val="24"/>
            </w:rPr>
            <w:tab/>
          </w:r>
          <w:r>
            <w:rPr>
              <w:sz w:val="24"/>
              <w:szCs w:val="24"/>
            </w:rPr>
            <w:fldChar w:fldCharType="begin"/>
          </w:r>
          <w:r>
            <w:rPr>
              <w:sz w:val="24"/>
              <w:szCs w:val="24"/>
            </w:rPr>
            <w:instrText xml:space="preserve"> PAGEREF _Toc32149 \h </w:instrText>
          </w:r>
          <w:r>
            <w:rPr>
              <w:sz w:val="24"/>
              <w:szCs w:val="24"/>
            </w:rPr>
            <w:fldChar w:fldCharType="separate"/>
          </w:r>
          <w:r>
            <w:rPr>
              <w:sz w:val="24"/>
              <w:szCs w:val="24"/>
            </w:rPr>
            <w:t>5</w:t>
          </w:r>
          <w:r>
            <w:rPr>
              <w:sz w:val="24"/>
              <w:szCs w:val="24"/>
            </w:rPr>
            <w:fldChar w:fldCharType="end"/>
          </w:r>
          <w:r>
            <w:rPr>
              <w:sz w:val="24"/>
              <w:szCs w:val="24"/>
            </w:rPr>
            <w:fldChar w:fldCharType="end"/>
          </w:r>
        </w:p>
        <w:p w14:paraId="2EB301B8">
          <w:pPr>
            <w:pStyle w:val="38"/>
            <w:tabs>
              <w:tab w:val="right" w:leader="dot" w:pos="9639"/>
            </w:tabs>
            <w:rPr>
              <w:sz w:val="24"/>
              <w:szCs w:val="24"/>
            </w:rPr>
          </w:pPr>
          <w:r>
            <w:rPr>
              <w:sz w:val="24"/>
              <w:szCs w:val="24"/>
            </w:rPr>
            <w:fldChar w:fldCharType="begin"/>
          </w:r>
          <w:r>
            <w:rPr>
              <w:sz w:val="24"/>
              <w:szCs w:val="24"/>
            </w:rPr>
            <w:instrText xml:space="preserve"> HYPERLINK \l _Toc1063 </w:instrText>
          </w:r>
          <w:r>
            <w:rPr>
              <w:sz w:val="24"/>
              <w:szCs w:val="24"/>
            </w:rPr>
            <w:fldChar w:fldCharType="separate"/>
          </w:r>
          <w:r>
            <w:rPr>
              <w:rFonts w:hint="eastAsia" w:ascii="方正黑体_GBK" w:hAnsi="方正仿宋_GBK" w:eastAsia="方正黑体_GBK" w:cs="方正仿宋_GBK"/>
              <w:bCs w:val="0"/>
              <w:kern w:val="0"/>
              <w:sz w:val="24"/>
              <w:szCs w:val="24"/>
            </w:rPr>
            <w:t>五、遴选文件获取及遴选时间要求</w:t>
          </w:r>
          <w:r>
            <w:rPr>
              <w:sz w:val="24"/>
              <w:szCs w:val="24"/>
            </w:rPr>
            <w:tab/>
          </w:r>
          <w:r>
            <w:rPr>
              <w:sz w:val="24"/>
              <w:szCs w:val="24"/>
            </w:rPr>
            <w:fldChar w:fldCharType="begin"/>
          </w:r>
          <w:r>
            <w:rPr>
              <w:sz w:val="24"/>
              <w:szCs w:val="24"/>
            </w:rPr>
            <w:instrText xml:space="preserve"> PAGEREF _Toc1063 \h </w:instrText>
          </w:r>
          <w:r>
            <w:rPr>
              <w:sz w:val="24"/>
              <w:szCs w:val="24"/>
            </w:rPr>
            <w:fldChar w:fldCharType="separate"/>
          </w:r>
          <w:r>
            <w:rPr>
              <w:sz w:val="24"/>
              <w:szCs w:val="24"/>
            </w:rPr>
            <w:t>5</w:t>
          </w:r>
          <w:r>
            <w:rPr>
              <w:sz w:val="24"/>
              <w:szCs w:val="24"/>
            </w:rPr>
            <w:fldChar w:fldCharType="end"/>
          </w:r>
          <w:r>
            <w:rPr>
              <w:sz w:val="24"/>
              <w:szCs w:val="24"/>
            </w:rPr>
            <w:fldChar w:fldCharType="end"/>
          </w:r>
        </w:p>
        <w:p w14:paraId="7D2344D0">
          <w:pPr>
            <w:pStyle w:val="38"/>
            <w:tabs>
              <w:tab w:val="right" w:leader="dot" w:pos="9639"/>
            </w:tabs>
            <w:rPr>
              <w:sz w:val="24"/>
              <w:szCs w:val="24"/>
            </w:rPr>
          </w:pPr>
          <w:r>
            <w:rPr>
              <w:sz w:val="24"/>
              <w:szCs w:val="24"/>
            </w:rPr>
            <w:fldChar w:fldCharType="begin"/>
          </w:r>
          <w:r>
            <w:rPr>
              <w:sz w:val="24"/>
              <w:szCs w:val="24"/>
            </w:rPr>
            <w:instrText xml:space="preserve"> HYPERLINK \l _Toc11184 </w:instrText>
          </w:r>
          <w:r>
            <w:rPr>
              <w:sz w:val="24"/>
              <w:szCs w:val="24"/>
            </w:rPr>
            <w:fldChar w:fldCharType="separate"/>
          </w:r>
          <w:r>
            <w:rPr>
              <w:rFonts w:hint="eastAsia" w:ascii="方正黑体_GBK" w:hAnsi="方正仿宋_GBK" w:eastAsia="方正黑体_GBK" w:cs="方正仿宋_GBK"/>
              <w:bCs w:val="0"/>
              <w:kern w:val="0"/>
              <w:sz w:val="24"/>
              <w:szCs w:val="24"/>
            </w:rPr>
            <w:t>六、响应有关规定</w:t>
          </w:r>
          <w:r>
            <w:rPr>
              <w:sz w:val="24"/>
              <w:szCs w:val="24"/>
            </w:rPr>
            <w:tab/>
          </w:r>
          <w:r>
            <w:rPr>
              <w:sz w:val="24"/>
              <w:szCs w:val="24"/>
            </w:rPr>
            <w:fldChar w:fldCharType="begin"/>
          </w:r>
          <w:r>
            <w:rPr>
              <w:sz w:val="24"/>
              <w:szCs w:val="24"/>
            </w:rPr>
            <w:instrText xml:space="preserve"> PAGEREF _Toc11184 \h </w:instrText>
          </w:r>
          <w:r>
            <w:rPr>
              <w:sz w:val="24"/>
              <w:szCs w:val="24"/>
            </w:rPr>
            <w:fldChar w:fldCharType="separate"/>
          </w:r>
          <w:r>
            <w:rPr>
              <w:sz w:val="24"/>
              <w:szCs w:val="24"/>
            </w:rPr>
            <w:t>6</w:t>
          </w:r>
          <w:r>
            <w:rPr>
              <w:sz w:val="24"/>
              <w:szCs w:val="24"/>
            </w:rPr>
            <w:fldChar w:fldCharType="end"/>
          </w:r>
          <w:r>
            <w:rPr>
              <w:sz w:val="24"/>
              <w:szCs w:val="24"/>
            </w:rPr>
            <w:fldChar w:fldCharType="end"/>
          </w:r>
        </w:p>
        <w:p w14:paraId="0314D001">
          <w:pPr>
            <w:pStyle w:val="38"/>
            <w:tabs>
              <w:tab w:val="right" w:leader="dot" w:pos="9639"/>
            </w:tabs>
            <w:rPr>
              <w:sz w:val="24"/>
              <w:szCs w:val="24"/>
            </w:rPr>
          </w:pPr>
          <w:r>
            <w:rPr>
              <w:sz w:val="24"/>
              <w:szCs w:val="24"/>
            </w:rPr>
            <w:fldChar w:fldCharType="begin"/>
          </w:r>
          <w:r>
            <w:rPr>
              <w:sz w:val="24"/>
              <w:szCs w:val="24"/>
            </w:rPr>
            <w:instrText xml:space="preserve"> HYPERLINK \l _Toc28233 </w:instrText>
          </w:r>
          <w:r>
            <w:rPr>
              <w:sz w:val="24"/>
              <w:szCs w:val="24"/>
            </w:rPr>
            <w:fldChar w:fldCharType="separate"/>
          </w:r>
          <w:r>
            <w:rPr>
              <w:rFonts w:hint="eastAsia" w:ascii="方正黑体_GBK" w:hAnsi="方正仿宋_GBK" w:eastAsia="方正黑体_GBK" w:cs="方正仿宋_GBK"/>
              <w:bCs w:val="0"/>
              <w:kern w:val="0"/>
              <w:sz w:val="24"/>
              <w:szCs w:val="24"/>
              <w:lang w:val="en-US" w:eastAsia="zh-CN"/>
            </w:rPr>
            <w:t>七</w:t>
          </w:r>
          <w:r>
            <w:rPr>
              <w:rFonts w:hint="eastAsia" w:ascii="方正黑体_GBK" w:hAnsi="方正仿宋_GBK" w:eastAsia="方正黑体_GBK" w:cs="方正仿宋_GBK"/>
              <w:bCs w:val="0"/>
              <w:kern w:val="0"/>
              <w:sz w:val="24"/>
              <w:szCs w:val="24"/>
            </w:rPr>
            <w:t>、联系方式</w:t>
          </w:r>
          <w:r>
            <w:rPr>
              <w:sz w:val="24"/>
              <w:szCs w:val="24"/>
            </w:rPr>
            <w:tab/>
          </w:r>
          <w:r>
            <w:rPr>
              <w:sz w:val="24"/>
              <w:szCs w:val="24"/>
            </w:rPr>
            <w:fldChar w:fldCharType="begin"/>
          </w:r>
          <w:r>
            <w:rPr>
              <w:sz w:val="24"/>
              <w:szCs w:val="24"/>
            </w:rPr>
            <w:instrText xml:space="preserve"> PAGEREF _Toc28233 \h </w:instrText>
          </w:r>
          <w:r>
            <w:rPr>
              <w:sz w:val="24"/>
              <w:szCs w:val="24"/>
            </w:rPr>
            <w:fldChar w:fldCharType="separate"/>
          </w:r>
          <w:r>
            <w:rPr>
              <w:sz w:val="24"/>
              <w:szCs w:val="24"/>
            </w:rPr>
            <w:t>6</w:t>
          </w:r>
          <w:r>
            <w:rPr>
              <w:sz w:val="24"/>
              <w:szCs w:val="24"/>
            </w:rPr>
            <w:fldChar w:fldCharType="end"/>
          </w:r>
          <w:r>
            <w:rPr>
              <w:sz w:val="24"/>
              <w:szCs w:val="24"/>
            </w:rPr>
            <w:fldChar w:fldCharType="end"/>
          </w:r>
        </w:p>
        <w:p w14:paraId="0BD931E8">
          <w:pPr>
            <w:pStyle w:val="38"/>
            <w:tabs>
              <w:tab w:val="right" w:leader="dot" w:pos="9639"/>
            </w:tabs>
            <w:rPr>
              <w:sz w:val="24"/>
              <w:szCs w:val="24"/>
            </w:rPr>
          </w:pPr>
          <w:r>
            <w:rPr>
              <w:sz w:val="24"/>
              <w:szCs w:val="24"/>
            </w:rPr>
            <w:fldChar w:fldCharType="begin"/>
          </w:r>
          <w:r>
            <w:rPr>
              <w:sz w:val="24"/>
              <w:szCs w:val="24"/>
            </w:rPr>
            <w:instrText xml:space="preserve"> HYPERLINK \l _Toc31245 </w:instrText>
          </w:r>
          <w:r>
            <w:rPr>
              <w:sz w:val="24"/>
              <w:szCs w:val="24"/>
            </w:rPr>
            <w:fldChar w:fldCharType="separate"/>
          </w:r>
          <w:r>
            <w:rPr>
              <w:rFonts w:hint="eastAsia" w:ascii="宋体" w:hAnsi="宋体" w:eastAsia="宋体" w:cs="宋体"/>
              <w:sz w:val="24"/>
              <w:szCs w:val="24"/>
            </w:rPr>
            <w:t>第二篇 项目</w:t>
          </w:r>
          <w:r>
            <w:rPr>
              <w:rFonts w:hint="eastAsia" w:ascii="宋体" w:hAnsi="宋体" w:eastAsia="宋体" w:cs="宋体"/>
              <w:sz w:val="24"/>
              <w:szCs w:val="24"/>
              <w:lang w:val="en-US" w:eastAsia="zh-CN"/>
            </w:rPr>
            <w:t>服务</w:t>
          </w:r>
          <w:r>
            <w:rPr>
              <w:rFonts w:hint="eastAsia" w:ascii="宋体" w:hAnsi="宋体" w:eastAsia="宋体" w:cs="宋体"/>
              <w:sz w:val="24"/>
              <w:szCs w:val="24"/>
            </w:rPr>
            <w:t>要求</w:t>
          </w:r>
          <w:r>
            <w:rPr>
              <w:sz w:val="24"/>
              <w:szCs w:val="24"/>
            </w:rPr>
            <w:tab/>
          </w:r>
          <w:r>
            <w:rPr>
              <w:sz w:val="24"/>
              <w:szCs w:val="24"/>
            </w:rPr>
            <w:fldChar w:fldCharType="begin"/>
          </w:r>
          <w:r>
            <w:rPr>
              <w:sz w:val="24"/>
              <w:szCs w:val="24"/>
            </w:rPr>
            <w:instrText xml:space="preserve"> PAGEREF _Toc31245 \h </w:instrText>
          </w:r>
          <w:r>
            <w:rPr>
              <w:sz w:val="24"/>
              <w:szCs w:val="24"/>
            </w:rPr>
            <w:fldChar w:fldCharType="separate"/>
          </w:r>
          <w:r>
            <w:rPr>
              <w:sz w:val="24"/>
              <w:szCs w:val="24"/>
            </w:rPr>
            <w:t>8</w:t>
          </w:r>
          <w:r>
            <w:rPr>
              <w:sz w:val="24"/>
              <w:szCs w:val="24"/>
            </w:rPr>
            <w:fldChar w:fldCharType="end"/>
          </w:r>
          <w:r>
            <w:rPr>
              <w:sz w:val="24"/>
              <w:szCs w:val="24"/>
            </w:rPr>
            <w:fldChar w:fldCharType="end"/>
          </w:r>
        </w:p>
        <w:p w14:paraId="59683493">
          <w:pPr>
            <w:pStyle w:val="38"/>
            <w:tabs>
              <w:tab w:val="right" w:leader="dot" w:pos="9639"/>
            </w:tabs>
            <w:rPr>
              <w:sz w:val="24"/>
              <w:szCs w:val="24"/>
            </w:rPr>
          </w:pPr>
          <w:r>
            <w:rPr>
              <w:sz w:val="24"/>
              <w:szCs w:val="24"/>
            </w:rPr>
            <w:fldChar w:fldCharType="begin"/>
          </w:r>
          <w:r>
            <w:rPr>
              <w:sz w:val="24"/>
              <w:szCs w:val="24"/>
            </w:rPr>
            <w:instrText xml:space="preserve"> HYPERLINK \l _Toc7814 </w:instrText>
          </w:r>
          <w:r>
            <w:rPr>
              <w:sz w:val="24"/>
              <w:szCs w:val="24"/>
            </w:rPr>
            <w:fldChar w:fldCharType="separate"/>
          </w:r>
          <w:r>
            <w:rPr>
              <w:rFonts w:hint="eastAsia" w:ascii="方正黑体_GBK" w:eastAsia="方正黑体_GBK" w:cs="宋体"/>
              <w:sz w:val="24"/>
              <w:szCs w:val="24"/>
            </w:rPr>
            <w:t>一、招标项目一览表</w:t>
          </w:r>
          <w:r>
            <w:rPr>
              <w:sz w:val="24"/>
              <w:szCs w:val="24"/>
            </w:rPr>
            <w:tab/>
          </w:r>
          <w:r>
            <w:rPr>
              <w:sz w:val="24"/>
              <w:szCs w:val="24"/>
            </w:rPr>
            <w:fldChar w:fldCharType="begin"/>
          </w:r>
          <w:r>
            <w:rPr>
              <w:sz w:val="24"/>
              <w:szCs w:val="24"/>
            </w:rPr>
            <w:instrText xml:space="preserve"> PAGEREF _Toc7814 \h </w:instrText>
          </w:r>
          <w:r>
            <w:rPr>
              <w:sz w:val="24"/>
              <w:szCs w:val="24"/>
            </w:rPr>
            <w:fldChar w:fldCharType="separate"/>
          </w:r>
          <w:r>
            <w:rPr>
              <w:sz w:val="24"/>
              <w:szCs w:val="24"/>
            </w:rPr>
            <w:t>8</w:t>
          </w:r>
          <w:r>
            <w:rPr>
              <w:sz w:val="24"/>
              <w:szCs w:val="24"/>
            </w:rPr>
            <w:fldChar w:fldCharType="end"/>
          </w:r>
          <w:r>
            <w:rPr>
              <w:sz w:val="24"/>
              <w:szCs w:val="24"/>
            </w:rPr>
            <w:fldChar w:fldCharType="end"/>
          </w:r>
        </w:p>
        <w:p w14:paraId="1A25600F">
          <w:pPr>
            <w:pStyle w:val="38"/>
            <w:tabs>
              <w:tab w:val="right" w:leader="dot" w:pos="9639"/>
            </w:tabs>
            <w:rPr>
              <w:sz w:val="24"/>
              <w:szCs w:val="24"/>
            </w:rPr>
          </w:pPr>
          <w:r>
            <w:rPr>
              <w:sz w:val="24"/>
              <w:szCs w:val="24"/>
            </w:rPr>
            <w:fldChar w:fldCharType="begin"/>
          </w:r>
          <w:r>
            <w:rPr>
              <w:sz w:val="24"/>
              <w:szCs w:val="24"/>
            </w:rPr>
            <w:instrText xml:space="preserve"> HYPERLINK \l _Toc21112 </w:instrText>
          </w:r>
          <w:r>
            <w:rPr>
              <w:sz w:val="24"/>
              <w:szCs w:val="24"/>
            </w:rPr>
            <w:fldChar w:fldCharType="separate"/>
          </w:r>
          <w:r>
            <w:rPr>
              <w:rFonts w:hint="eastAsia" w:ascii="方正黑体_GBK" w:eastAsia="方正黑体_GBK" w:cs="宋体"/>
              <w:sz w:val="24"/>
              <w:szCs w:val="24"/>
            </w:rPr>
            <w:t>二、服务标准</w:t>
          </w:r>
          <w:r>
            <w:rPr>
              <w:sz w:val="24"/>
              <w:szCs w:val="24"/>
            </w:rPr>
            <w:tab/>
          </w:r>
          <w:r>
            <w:rPr>
              <w:sz w:val="24"/>
              <w:szCs w:val="24"/>
            </w:rPr>
            <w:fldChar w:fldCharType="begin"/>
          </w:r>
          <w:r>
            <w:rPr>
              <w:sz w:val="24"/>
              <w:szCs w:val="24"/>
            </w:rPr>
            <w:instrText xml:space="preserve"> PAGEREF _Toc21112 \h </w:instrText>
          </w:r>
          <w:r>
            <w:rPr>
              <w:sz w:val="24"/>
              <w:szCs w:val="24"/>
            </w:rPr>
            <w:fldChar w:fldCharType="separate"/>
          </w:r>
          <w:r>
            <w:rPr>
              <w:sz w:val="24"/>
              <w:szCs w:val="24"/>
            </w:rPr>
            <w:t>8</w:t>
          </w:r>
          <w:r>
            <w:rPr>
              <w:sz w:val="24"/>
              <w:szCs w:val="24"/>
            </w:rPr>
            <w:fldChar w:fldCharType="end"/>
          </w:r>
          <w:r>
            <w:rPr>
              <w:sz w:val="24"/>
              <w:szCs w:val="24"/>
            </w:rPr>
            <w:fldChar w:fldCharType="end"/>
          </w:r>
        </w:p>
        <w:p w14:paraId="6338B5CE">
          <w:pPr>
            <w:pStyle w:val="38"/>
            <w:tabs>
              <w:tab w:val="right" w:leader="dot" w:pos="9639"/>
            </w:tabs>
            <w:rPr>
              <w:sz w:val="24"/>
              <w:szCs w:val="24"/>
            </w:rPr>
          </w:pPr>
          <w:r>
            <w:rPr>
              <w:sz w:val="24"/>
              <w:szCs w:val="24"/>
            </w:rPr>
            <w:fldChar w:fldCharType="begin"/>
          </w:r>
          <w:r>
            <w:rPr>
              <w:sz w:val="24"/>
              <w:szCs w:val="24"/>
            </w:rPr>
            <w:instrText xml:space="preserve"> HYPERLINK \l _Toc10364 </w:instrText>
          </w:r>
          <w:r>
            <w:rPr>
              <w:sz w:val="24"/>
              <w:szCs w:val="24"/>
            </w:rPr>
            <w:fldChar w:fldCharType="separate"/>
          </w:r>
          <w:r>
            <w:rPr>
              <w:rFonts w:hint="eastAsia" w:ascii="方正黑体_GBK" w:eastAsia="方正黑体_GBK" w:cs="宋体"/>
              <w:sz w:val="24"/>
              <w:szCs w:val="24"/>
            </w:rPr>
            <w:t>三、服务要求</w:t>
          </w:r>
          <w:r>
            <w:rPr>
              <w:sz w:val="24"/>
              <w:szCs w:val="24"/>
            </w:rPr>
            <w:tab/>
          </w:r>
          <w:r>
            <w:rPr>
              <w:sz w:val="24"/>
              <w:szCs w:val="24"/>
            </w:rPr>
            <w:fldChar w:fldCharType="begin"/>
          </w:r>
          <w:r>
            <w:rPr>
              <w:sz w:val="24"/>
              <w:szCs w:val="24"/>
            </w:rPr>
            <w:instrText xml:space="preserve"> PAGEREF _Toc10364 \h </w:instrText>
          </w:r>
          <w:r>
            <w:rPr>
              <w:sz w:val="24"/>
              <w:szCs w:val="24"/>
            </w:rPr>
            <w:fldChar w:fldCharType="separate"/>
          </w:r>
          <w:r>
            <w:rPr>
              <w:sz w:val="24"/>
              <w:szCs w:val="24"/>
            </w:rPr>
            <w:t>9</w:t>
          </w:r>
          <w:r>
            <w:rPr>
              <w:sz w:val="24"/>
              <w:szCs w:val="24"/>
            </w:rPr>
            <w:fldChar w:fldCharType="end"/>
          </w:r>
          <w:r>
            <w:rPr>
              <w:sz w:val="24"/>
              <w:szCs w:val="24"/>
            </w:rPr>
            <w:fldChar w:fldCharType="end"/>
          </w:r>
        </w:p>
        <w:p w14:paraId="395E5A1C">
          <w:pPr>
            <w:pStyle w:val="46"/>
            <w:tabs>
              <w:tab w:val="right" w:leader="dot" w:pos="9639"/>
            </w:tabs>
            <w:rPr>
              <w:sz w:val="24"/>
              <w:szCs w:val="24"/>
            </w:rPr>
          </w:pPr>
          <w:r>
            <w:rPr>
              <w:sz w:val="24"/>
              <w:szCs w:val="24"/>
            </w:rPr>
            <w:fldChar w:fldCharType="begin"/>
          </w:r>
          <w:r>
            <w:rPr>
              <w:sz w:val="24"/>
              <w:szCs w:val="24"/>
            </w:rPr>
            <w:instrText xml:space="preserve"> HYPERLINK \l _Toc3861 </w:instrText>
          </w:r>
          <w:r>
            <w:rPr>
              <w:sz w:val="24"/>
              <w:szCs w:val="24"/>
            </w:rPr>
            <w:fldChar w:fldCharType="separate"/>
          </w:r>
          <w:r>
            <w:rPr>
              <w:rFonts w:hint="eastAsia" w:ascii="仿宋" w:hAnsi="仿宋" w:eastAsia="仿宋" w:cs="仿宋"/>
              <w:sz w:val="24"/>
              <w:szCs w:val="24"/>
            </w:rPr>
            <w:t>1.维护措施和要求</w:t>
          </w:r>
          <w:r>
            <w:rPr>
              <w:sz w:val="24"/>
              <w:szCs w:val="24"/>
            </w:rPr>
            <w:tab/>
          </w:r>
          <w:r>
            <w:rPr>
              <w:sz w:val="24"/>
              <w:szCs w:val="24"/>
            </w:rPr>
            <w:fldChar w:fldCharType="begin"/>
          </w:r>
          <w:r>
            <w:rPr>
              <w:sz w:val="24"/>
              <w:szCs w:val="24"/>
            </w:rPr>
            <w:instrText xml:space="preserve"> PAGEREF _Toc3861 \h </w:instrText>
          </w:r>
          <w:r>
            <w:rPr>
              <w:sz w:val="24"/>
              <w:szCs w:val="24"/>
            </w:rPr>
            <w:fldChar w:fldCharType="separate"/>
          </w:r>
          <w:r>
            <w:rPr>
              <w:sz w:val="24"/>
              <w:szCs w:val="24"/>
            </w:rPr>
            <w:t>9</w:t>
          </w:r>
          <w:r>
            <w:rPr>
              <w:sz w:val="24"/>
              <w:szCs w:val="24"/>
            </w:rPr>
            <w:fldChar w:fldCharType="end"/>
          </w:r>
          <w:r>
            <w:rPr>
              <w:sz w:val="24"/>
              <w:szCs w:val="24"/>
            </w:rPr>
            <w:fldChar w:fldCharType="end"/>
          </w:r>
        </w:p>
        <w:p w14:paraId="0A33867C">
          <w:pPr>
            <w:pStyle w:val="46"/>
            <w:tabs>
              <w:tab w:val="right" w:leader="dot" w:pos="9639"/>
            </w:tabs>
            <w:rPr>
              <w:sz w:val="24"/>
              <w:szCs w:val="24"/>
            </w:rPr>
          </w:pPr>
          <w:r>
            <w:rPr>
              <w:sz w:val="24"/>
              <w:szCs w:val="24"/>
            </w:rPr>
            <w:fldChar w:fldCharType="begin"/>
          </w:r>
          <w:r>
            <w:rPr>
              <w:sz w:val="24"/>
              <w:szCs w:val="24"/>
            </w:rPr>
            <w:instrText xml:space="preserve"> HYPERLINK \l _Toc9938 </w:instrText>
          </w:r>
          <w:r>
            <w:rPr>
              <w:sz w:val="24"/>
              <w:szCs w:val="24"/>
            </w:rPr>
            <w:fldChar w:fldCharType="separate"/>
          </w:r>
          <w:r>
            <w:rPr>
              <w:rFonts w:hint="eastAsia" w:ascii="仿宋" w:hAnsi="仿宋" w:eastAsia="仿宋" w:cs="仿宋"/>
              <w:sz w:val="24"/>
              <w:szCs w:val="24"/>
            </w:rPr>
            <w:t>2.相关费用约定</w:t>
          </w:r>
          <w:r>
            <w:rPr>
              <w:sz w:val="24"/>
              <w:szCs w:val="24"/>
            </w:rPr>
            <w:tab/>
          </w:r>
          <w:r>
            <w:rPr>
              <w:sz w:val="24"/>
              <w:szCs w:val="24"/>
            </w:rPr>
            <w:fldChar w:fldCharType="begin"/>
          </w:r>
          <w:r>
            <w:rPr>
              <w:sz w:val="24"/>
              <w:szCs w:val="24"/>
            </w:rPr>
            <w:instrText xml:space="preserve"> PAGEREF _Toc9938 \h </w:instrText>
          </w:r>
          <w:r>
            <w:rPr>
              <w:sz w:val="24"/>
              <w:szCs w:val="24"/>
            </w:rPr>
            <w:fldChar w:fldCharType="separate"/>
          </w:r>
          <w:r>
            <w:rPr>
              <w:sz w:val="24"/>
              <w:szCs w:val="24"/>
            </w:rPr>
            <w:t>9</w:t>
          </w:r>
          <w:r>
            <w:rPr>
              <w:sz w:val="24"/>
              <w:szCs w:val="24"/>
            </w:rPr>
            <w:fldChar w:fldCharType="end"/>
          </w:r>
          <w:r>
            <w:rPr>
              <w:sz w:val="24"/>
              <w:szCs w:val="24"/>
            </w:rPr>
            <w:fldChar w:fldCharType="end"/>
          </w:r>
        </w:p>
        <w:p w14:paraId="1686EDF5">
          <w:pPr>
            <w:pStyle w:val="46"/>
            <w:tabs>
              <w:tab w:val="right" w:leader="dot" w:pos="9639"/>
            </w:tabs>
            <w:rPr>
              <w:sz w:val="24"/>
              <w:szCs w:val="24"/>
            </w:rPr>
          </w:pPr>
          <w:r>
            <w:rPr>
              <w:sz w:val="24"/>
              <w:szCs w:val="24"/>
            </w:rPr>
            <w:fldChar w:fldCharType="begin"/>
          </w:r>
          <w:r>
            <w:rPr>
              <w:sz w:val="24"/>
              <w:szCs w:val="24"/>
            </w:rPr>
            <w:instrText xml:space="preserve"> HYPERLINK \l _Toc11442 </w:instrText>
          </w:r>
          <w:r>
            <w:rPr>
              <w:sz w:val="24"/>
              <w:szCs w:val="24"/>
            </w:rPr>
            <w:fldChar w:fldCharType="separate"/>
          </w:r>
          <w:r>
            <w:rPr>
              <w:rFonts w:hint="eastAsia" w:ascii="仿宋" w:hAnsi="仿宋" w:eastAsia="仿宋" w:cs="仿宋"/>
              <w:sz w:val="24"/>
              <w:szCs w:val="24"/>
            </w:rPr>
            <w:t>3.应急排故</w:t>
          </w:r>
          <w:r>
            <w:rPr>
              <w:sz w:val="24"/>
              <w:szCs w:val="24"/>
            </w:rPr>
            <w:tab/>
          </w:r>
          <w:r>
            <w:rPr>
              <w:sz w:val="24"/>
              <w:szCs w:val="24"/>
            </w:rPr>
            <w:fldChar w:fldCharType="begin"/>
          </w:r>
          <w:r>
            <w:rPr>
              <w:sz w:val="24"/>
              <w:szCs w:val="24"/>
            </w:rPr>
            <w:instrText xml:space="preserve"> PAGEREF _Toc11442 \h </w:instrText>
          </w:r>
          <w:r>
            <w:rPr>
              <w:sz w:val="24"/>
              <w:szCs w:val="24"/>
            </w:rPr>
            <w:fldChar w:fldCharType="separate"/>
          </w:r>
          <w:r>
            <w:rPr>
              <w:sz w:val="24"/>
              <w:szCs w:val="24"/>
            </w:rPr>
            <w:t>10</w:t>
          </w:r>
          <w:r>
            <w:rPr>
              <w:sz w:val="24"/>
              <w:szCs w:val="24"/>
            </w:rPr>
            <w:fldChar w:fldCharType="end"/>
          </w:r>
          <w:r>
            <w:rPr>
              <w:sz w:val="24"/>
              <w:szCs w:val="24"/>
            </w:rPr>
            <w:fldChar w:fldCharType="end"/>
          </w:r>
        </w:p>
        <w:p w14:paraId="2BC24025">
          <w:pPr>
            <w:pStyle w:val="46"/>
            <w:tabs>
              <w:tab w:val="right" w:leader="dot" w:pos="9639"/>
            </w:tabs>
            <w:rPr>
              <w:sz w:val="24"/>
              <w:szCs w:val="24"/>
            </w:rPr>
          </w:pPr>
          <w:r>
            <w:rPr>
              <w:sz w:val="24"/>
              <w:szCs w:val="24"/>
            </w:rPr>
            <w:fldChar w:fldCharType="begin"/>
          </w:r>
          <w:r>
            <w:rPr>
              <w:sz w:val="24"/>
              <w:szCs w:val="24"/>
            </w:rPr>
            <w:instrText xml:space="preserve"> HYPERLINK \l _Toc25787 </w:instrText>
          </w:r>
          <w:r>
            <w:rPr>
              <w:sz w:val="24"/>
              <w:szCs w:val="24"/>
            </w:rPr>
            <w:fldChar w:fldCharType="separate"/>
          </w:r>
          <w:r>
            <w:rPr>
              <w:rFonts w:hint="eastAsia" w:ascii="仿宋" w:hAnsi="仿宋" w:eastAsia="仿宋" w:cs="仿宋"/>
              <w:sz w:val="24"/>
              <w:szCs w:val="24"/>
              <w:lang w:val="en-US" w:eastAsia="zh-CN"/>
            </w:rPr>
            <w:t>4.完成其他采购人消防安全管理交办工作。</w:t>
          </w:r>
          <w:r>
            <w:rPr>
              <w:sz w:val="24"/>
              <w:szCs w:val="24"/>
            </w:rPr>
            <w:tab/>
          </w:r>
          <w:r>
            <w:rPr>
              <w:sz w:val="24"/>
              <w:szCs w:val="24"/>
            </w:rPr>
            <w:fldChar w:fldCharType="begin"/>
          </w:r>
          <w:r>
            <w:rPr>
              <w:sz w:val="24"/>
              <w:szCs w:val="24"/>
            </w:rPr>
            <w:instrText xml:space="preserve"> PAGEREF _Toc25787 \h </w:instrText>
          </w:r>
          <w:r>
            <w:rPr>
              <w:sz w:val="24"/>
              <w:szCs w:val="24"/>
            </w:rPr>
            <w:fldChar w:fldCharType="separate"/>
          </w:r>
          <w:r>
            <w:rPr>
              <w:sz w:val="24"/>
              <w:szCs w:val="24"/>
            </w:rPr>
            <w:t>11</w:t>
          </w:r>
          <w:r>
            <w:rPr>
              <w:sz w:val="24"/>
              <w:szCs w:val="24"/>
            </w:rPr>
            <w:fldChar w:fldCharType="end"/>
          </w:r>
          <w:r>
            <w:rPr>
              <w:sz w:val="24"/>
              <w:szCs w:val="24"/>
            </w:rPr>
            <w:fldChar w:fldCharType="end"/>
          </w:r>
        </w:p>
        <w:p w14:paraId="70C969CF">
          <w:pPr>
            <w:pStyle w:val="38"/>
            <w:tabs>
              <w:tab w:val="right" w:leader="dot" w:pos="9639"/>
            </w:tabs>
            <w:rPr>
              <w:sz w:val="24"/>
              <w:szCs w:val="24"/>
            </w:rPr>
          </w:pPr>
          <w:r>
            <w:rPr>
              <w:sz w:val="24"/>
              <w:szCs w:val="24"/>
            </w:rPr>
            <w:fldChar w:fldCharType="begin"/>
          </w:r>
          <w:r>
            <w:rPr>
              <w:sz w:val="24"/>
              <w:szCs w:val="24"/>
            </w:rPr>
            <w:instrText xml:space="preserve"> HYPERLINK \l _Toc3285 </w:instrText>
          </w:r>
          <w:r>
            <w:rPr>
              <w:sz w:val="24"/>
              <w:szCs w:val="24"/>
            </w:rPr>
            <w:fldChar w:fldCharType="separate"/>
          </w:r>
          <w:r>
            <w:rPr>
              <w:rFonts w:hint="eastAsia" w:ascii="方正黑体_GBK" w:eastAsia="方正黑体_GBK" w:cs="宋体"/>
              <w:sz w:val="24"/>
              <w:szCs w:val="24"/>
            </w:rPr>
            <w:t>四、服务内容及标准</w:t>
          </w:r>
          <w:r>
            <w:rPr>
              <w:sz w:val="24"/>
              <w:szCs w:val="24"/>
            </w:rPr>
            <w:tab/>
          </w:r>
          <w:r>
            <w:rPr>
              <w:sz w:val="24"/>
              <w:szCs w:val="24"/>
            </w:rPr>
            <w:fldChar w:fldCharType="begin"/>
          </w:r>
          <w:r>
            <w:rPr>
              <w:sz w:val="24"/>
              <w:szCs w:val="24"/>
            </w:rPr>
            <w:instrText xml:space="preserve"> PAGEREF _Toc3285 \h </w:instrText>
          </w:r>
          <w:r>
            <w:rPr>
              <w:sz w:val="24"/>
              <w:szCs w:val="24"/>
            </w:rPr>
            <w:fldChar w:fldCharType="separate"/>
          </w:r>
          <w:r>
            <w:rPr>
              <w:sz w:val="24"/>
              <w:szCs w:val="24"/>
            </w:rPr>
            <w:t>11</w:t>
          </w:r>
          <w:r>
            <w:rPr>
              <w:sz w:val="24"/>
              <w:szCs w:val="24"/>
            </w:rPr>
            <w:fldChar w:fldCharType="end"/>
          </w:r>
          <w:r>
            <w:rPr>
              <w:sz w:val="24"/>
              <w:szCs w:val="24"/>
            </w:rPr>
            <w:fldChar w:fldCharType="end"/>
          </w:r>
        </w:p>
        <w:p w14:paraId="07A8C321">
          <w:pPr>
            <w:pStyle w:val="38"/>
            <w:tabs>
              <w:tab w:val="right" w:leader="dot" w:pos="9639"/>
            </w:tabs>
            <w:rPr>
              <w:sz w:val="24"/>
              <w:szCs w:val="24"/>
            </w:rPr>
          </w:pPr>
          <w:r>
            <w:rPr>
              <w:sz w:val="24"/>
              <w:szCs w:val="24"/>
            </w:rPr>
            <w:fldChar w:fldCharType="begin"/>
          </w:r>
          <w:r>
            <w:rPr>
              <w:sz w:val="24"/>
              <w:szCs w:val="24"/>
            </w:rPr>
            <w:instrText xml:space="preserve"> HYPERLINK \l _Toc23644 </w:instrText>
          </w:r>
          <w:r>
            <w:rPr>
              <w:sz w:val="24"/>
              <w:szCs w:val="24"/>
            </w:rPr>
            <w:fldChar w:fldCharType="separate"/>
          </w:r>
          <w:r>
            <w:rPr>
              <w:rFonts w:hint="eastAsia" w:ascii="方正黑体_GBK" w:eastAsia="方正黑体_GBK" w:cs="宋体"/>
              <w:sz w:val="24"/>
              <w:szCs w:val="24"/>
            </w:rPr>
            <w:t>五、安全要求</w:t>
          </w:r>
          <w:r>
            <w:rPr>
              <w:sz w:val="24"/>
              <w:szCs w:val="24"/>
            </w:rPr>
            <w:tab/>
          </w:r>
          <w:r>
            <w:rPr>
              <w:sz w:val="24"/>
              <w:szCs w:val="24"/>
            </w:rPr>
            <w:fldChar w:fldCharType="begin"/>
          </w:r>
          <w:r>
            <w:rPr>
              <w:sz w:val="24"/>
              <w:szCs w:val="24"/>
            </w:rPr>
            <w:instrText xml:space="preserve"> PAGEREF _Toc23644 \h </w:instrText>
          </w:r>
          <w:r>
            <w:rPr>
              <w:sz w:val="24"/>
              <w:szCs w:val="24"/>
            </w:rPr>
            <w:fldChar w:fldCharType="separate"/>
          </w:r>
          <w:r>
            <w:rPr>
              <w:sz w:val="24"/>
              <w:szCs w:val="24"/>
            </w:rPr>
            <w:t>18</w:t>
          </w:r>
          <w:r>
            <w:rPr>
              <w:sz w:val="24"/>
              <w:szCs w:val="24"/>
            </w:rPr>
            <w:fldChar w:fldCharType="end"/>
          </w:r>
          <w:r>
            <w:rPr>
              <w:sz w:val="24"/>
              <w:szCs w:val="24"/>
            </w:rPr>
            <w:fldChar w:fldCharType="end"/>
          </w:r>
        </w:p>
        <w:p w14:paraId="6032DCBA">
          <w:pPr>
            <w:pStyle w:val="38"/>
            <w:tabs>
              <w:tab w:val="right" w:leader="dot" w:pos="9639"/>
            </w:tabs>
            <w:rPr>
              <w:sz w:val="24"/>
              <w:szCs w:val="24"/>
            </w:rPr>
          </w:pPr>
          <w:r>
            <w:rPr>
              <w:sz w:val="24"/>
              <w:szCs w:val="24"/>
            </w:rPr>
            <w:fldChar w:fldCharType="begin"/>
          </w:r>
          <w:r>
            <w:rPr>
              <w:sz w:val="24"/>
              <w:szCs w:val="24"/>
            </w:rPr>
            <w:instrText xml:space="preserve"> HYPERLINK \l _Toc11509 </w:instrText>
          </w:r>
          <w:r>
            <w:rPr>
              <w:sz w:val="24"/>
              <w:szCs w:val="24"/>
            </w:rPr>
            <w:fldChar w:fldCharType="separate"/>
          </w:r>
          <w:r>
            <w:rPr>
              <w:rFonts w:hint="eastAsia" w:ascii="方正黑体_GBK" w:eastAsia="方正黑体_GBK" w:cs="宋体"/>
              <w:sz w:val="24"/>
              <w:szCs w:val="24"/>
            </w:rPr>
            <w:t>六、现场踏勘</w:t>
          </w:r>
          <w:r>
            <w:rPr>
              <w:sz w:val="24"/>
              <w:szCs w:val="24"/>
            </w:rPr>
            <w:tab/>
          </w:r>
          <w:r>
            <w:rPr>
              <w:sz w:val="24"/>
              <w:szCs w:val="24"/>
            </w:rPr>
            <w:fldChar w:fldCharType="begin"/>
          </w:r>
          <w:r>
            <w:rPr>
              <w:sz w:val="24"/>
              <w:szCs w:val="24"/>
            </w:rPr>
            <w:instrText xml:space="preserve"> PAGEREF _Toc11509 \h </w:instrText>
          </w:r>
          <w:r>
            <w:rPr>
              <w:sz w:val="24"/>
              <w:szCs w:val="24"/>
            </w:rPr>
            <w:fldChar w:fldCharType="separate"/>
          </w:r>
          <w:r>
            <w:rPr>
              <w:sz w:val="24"/>
              <w:szCs w:val="24"/>
            </w:rPr>
            <w:t>18</w:t>
          </w:r>
          <w:r>
            <w:rPr>
              <w:sz w:val="24"/>
              <w:szCs w:val="24"/>
            </w:rPr>
            <w:fldChar w:fldCharType="end"/>
          </w:r>
          <w:r>
            <w:rPr>
              <w:sz w:val="24"/>
              <w:szCs w:val="24"/>
            </w:rPr>
            <w:fldChar w:fldCharType="end"/>
          </w:r>
        </w:p>
        <w:p w14:paraId="095CBBE2">
          <w:pPr>
            <w:pStyle w:val="38"/>
            <w:tabs>
              <w:tab w:val="right" w:leader="dot" w:pos="9639"/>
            </w:tabs>
            <w:rPr>
              <w:sz w:val="24"/>
              <w:szCs w:val="24"/>
            </w:rPr>
          </w:pPr>
          <w:r>
            <w:rPr>
              <w:sz w:val="24"/>
              <w:szCs w:val="24"/>
            </w:rPr>
            <w:fldChar w:fldCharType="begin"/>
          </w:r>
          <w:r>
            <w:rPr>
              <w:sz w:val="24"/>
              <w:szCs w:val="24"/>
            </w:rPr>
            <w:instrText xml:space="preserve"> HYPERLINK \l _Toc31119 </w:instrText>
          </w:r>
          <w:r>
            <w:rPr>
              <w:sz w:val="24"/>
              <w:szCs w:val="24"/>
            </w:rPr>
            <w:fldChar w:fldCharType="separate"/>
          </w:r>
          <w:r>
            <w:rPr>
              <w:rFonts w:hint="eastAsia" w:ascii="宋体" w:hAnsi="宋体" w:eastAsia="宋体" w:cs="宋体"/>
              <w:sz w:val="24"/>
              <w:szCs w:val="24"/>
            </w:rPr>
            <w:t>第三篇 项目商务要求</w:t>
          </w:r>
          <w:r>
            <w:rPr>
              <w:sz w:val="24"/>
              <w:szCs w:val="24"/>
            </w:rPr>
            <w:tab/>
          </w:r>
          <w:r>
            <w:rPr>
              <w:sz w:val="24"/>
              <w:szCs w:val="24"/>
            </w:rPr>
            <w:fldChar w:fldCharType="begin"/>
          </w:r>
          <w:r>
            <w:rPr>
              <w:sz w:val="24"/>
              <w:szCs w:val="24"/>
            </w:rPr>
            <w:instrText xml:space="preserve"> PAGEREF _Toc31119 \h </w:instrText>
          </w:r>
          <w:r>
            <w:rPr>
              <w:sz w:val="24"/>
              <w:szCs w:val="24"/>
            </w:rPr>
            <w:fldChar w:fldCharType="separate"/>
          </w:r>
          <w:r>
            <w:rPr>
              <w:sz w:val="24"/>
              <w:szCs w:val="24"/>
            </w:rPr>
            <w:t>- 20 -</w:t>
          </w:r>
          <w:r>
            <w:rPr>
              <w:sz w:val="24"/>
              <w:szCs w:val="24"/>
            </w:rPr>
            <w:fldChar w:fldCharType="end"/>
          </w:r>
          <w:r>
            <w:rPr>
              <w:sz w:val="24"/>
              <w:szCs w:val="24"/>
            </w:rPr>
            <w:fldChar w:fldCharType="end"/>
          </w:r>
        </w:p>
        <w:p w14:paraId="78552EC1">
          <w:pPr>
            <w:pStyle w:val="38"/>
            <w:tabs>
              <w:tab w:val="right" w:leader="dot" w:pos="9639"/>
            </w:tabs>
            <w:rPr>
              <w:sz w:val="24"/>
              <w:szCs w:val="24"/>
            </w:rPr>
          </w:pPr>
          <w:r>
            <w:rPr>
              <w:sz w:val="24"/>
              <w:szCs w:val="24"/>
            </w:rPr>
            <w:fldChar w:fldCharType="begin"/>
          </w:r>
          <w:r>
            <w:rPr>
              <w:sz w:val="24"/>
              <w:szCs w:val="24"/>
            </w:rPr>
            <w:instrText xml:space="preserve"> HYPERLINK \l _Toc9408 </w:instrText>
          </w:r>
          <w:r>
            <w:rPr>
              <w:sz w:val="24"/>
              <w:szCs w:val="24"/>
            </w:rPr>
            <w:fldChar w:fldCharType="separate"/>
          </w:r>
          <w:r>
            <w:rPr>
              <w:rFonts w:hint="eastAsia" w:ascii="Arial" w:hAnsi="Arial" w:eastAsia="仿宋" w:cs="Times New Roman"/>
              <w:kern w:val="2"/>
              <w:sz w:val="24"/>
              <w:szCs w:val="24"/>
              <w:lang w:val="en-US" w:eastAsia="zh-CN" w:bidi="ar-SA"/>
            </w:rPr>
            <w:t>一、服务期限、服务地点及验收方式</w:t>
          </w:r>
          <w:r>
            <w:rPr>
              <w:sz w:val="24"/>
              <w:szCs w:val="24"/>
            </w:rPr>
            <w:tab/>
          </w:r>
          <w:r>
            <w:rPr>
              <w:sz w:val="24"/>
              <w:szCs w:val="24"/>
            </w:rPr>
            <w:fldChar w:fldCharType="begin"/>
          </w:r>
          <w:r>
            <w:rPr>
              <w:sz w:val="24"/>
              <w:szCs w:val="24"/>
            </w:rPr>
            <w:instrText xml:space="preserve"> PAGEREF _Toc9408 \h </w:instrText>
          </w:r>
          <w:r>
            <w:rPr>
              <w:sz w:val="24"/>
              <w:szCs w:val="24"/>
            </w:rPr>
            <w:fldChar w:fldCharType="separate"/>
          </w:r>
          <w:r>
            <w:rPr>
              <w:sz w:val="24"/>
              <w:szCs w:val="24"/>
            </w:rPr>
            <w:t>- 20 -</w:t>
          </w:r>
          <w:r>
            <w:rPr>
              <w:sz w:val="24"/>
              <w:szCs w:val="24"/>
            </w:rPr>
            <w:fldChar w:fldCharType="end"/>
          </w:r>
          <w:r>
            <w:rPr>
              <w:sz w:val="24"/>
              <w:szCs w:val="24"/>
            </w:rPr>
            <w:fldChar w:fldCharType="end"/>
          </w:r>
        </w:p>
        <w:p w14:paraId="0343221E">
          <w:pPr>
            <w:pStyle w:val="38"/>
            <w:tabs>
              <w:tab w:val="right" w:leader="dot" w:pos="9639"/>
            </w:tabs>
            <w:rPr>
              <w:sz w:val="24"/>
              <w:szCs w:val="24"/>
            </w:rPr>
          </w:pPr>
          <w:r>
            <w:rPr>
              <w:sz w:val="24"/>
              <w:szCs w:val="24"/>
            </w:rPr>
            <w:fldChar w:fldCharType="begin"/>
          </w:r>
          <w:r>
            <w:rPr>
              <w:sz w:val="24"/>
              <w:szCs w:val="24"/>
            </w:rPr>
            <w:instrText xml:space="preserve"> HYPERLINK \l _Toc19359 </w:instrText>
          </w:r>
          <w:r>
            <w:rPr>
              <w:sz w:val="24"/>
              <w:szCs w:val="24"/>
            </w:rPr>
            <w:fldChar w:fldCharType="separate"/>
          </w:r>
          <w:r>
            <w:rPr>
              <w:rFonts w:hint="eastAsia" w:ascii="Arial" w:hAnsi="Arial" w:eastAsia="仿宋" w:cs="Times New Roman"/>
              <w:kern w:val="2"/>
              <w:sz w:val="24"/>
              <w:szCs w:val="24"/>
              <w:lang w:val="en-US" w:eastAsia="zh-CN" w:bidi="ar-SA"/>
            </w:rPr>
            <w:t>二、报价要求</w:t>
          </w:r>
          <w:r>
            <w:rPr>
              <w:sz w:val="24"/>
              <w:szCs w:val="24"/>
            </w:rPr>
            <w:tab/>
          </w:r>
          <w:r>
            <w:rPr>
              <w:sz w:val="24"/>
              <w:szCs w:val="24"/>
            </w:rPr>
            <w:fldChar w:fldCharType="begin"/>
          </w:r>
          <w:r>
            <w:rPr>
              <w:sz w:val="24"/>
              <w:szCs w:val="24"/>
            </w:rPr>
            <w:instrText xml:space="preserve"> PAGEREF _Toc19359 \h </w:instrText>
          </w:r>
          <w:r>
            <w:rPr>
              <w:sz w:val="24"/>
              <w:szCs w:val="24"/>
            </w:rPr>
            <w:fldChar w:fldCharType="separate"/>
          </w:r>
          <w:r>
            <w:rPr>
              <w:sz w:val="24"/>
              <w:szCs w:val="24"/>
            </w:rPr>
            <w:t>- 20 -</w:t>
          </w:r>
          <w:r>
            <w:rPr>
              <w:sz w:val="24"/>
              <w:szCs w:val="24"/>
            </w:rPr>
            <w:fldChar w:fldCharType="end"/>
          </w:r>
          <w:r>
            <w:rPr>
              <w:sz w:val="24"/>
              <w:szCs w:val="24"/>
            </w:rPr>
            <w:fldChar w:fldCharType="end"/>
          </w:r>
        </w:p>
        <w:p w14:paraId="061B7267">
          <w:pPr>
            <w:pStyle w:val="38"/>
            <w:tabs>
              <w:tab w:val="right" w:leader="dot" w:pos="9639"/>
            </w:tabs>
            <w:rPr>
              <w:sz w:val="24"/>
              <w:szCs w:val="24"/>
            </w:rPr>
          </w:pPr>
          <w:r>
            <w:rPr>
              <w:sz w:val="24"/>
              <w:szCs w:val="24"/>
            </w:rPr>
            <w:fldChar w:fldCharType="begin"/>
          </w:r>
          <w:r>
            <w:rPr>
              <w:sz w:val="24"/>
              <w:szCs w:val="24"/>
            </w:rPr>
            <w:instrText xml:space="preserve"> HYPERLINK \l _Toc2914 </w:instrText>
          </w:r>
          <w:r>
            <w:rPr>
              <w:sz w:val="24"/>
              <w:szCs w:val="24"/>
            </w:rPr>
            <w:fldChar w:fldCharType="separate"/>
          </w:r>
          <w:r>
            <w:rPr>
              <w:rFonts w:hint="eastAsia" w:ascii="Arial" w:hAnsi="Arial" w:eastAsia="仿宋" w:cs="Times New Roman"/>
              <w:kern w:val="2"/>
              <w:sz w:val="24"/>
              <w:szCs w:val="24"/>
              <w:lang w:val="en-US" w:eastAsia="zh-CN" w:bidi="ar-SA"/>
            </w:rPr>
            <w:t>三、付款方式</w:t>
          </w:r>
          <w:r>
            <w:rPr>
              <w:sz w:val="24"/>
              <w:szCs w:val="24"/>
            </w:rPr>
            <w:tab/>
          </w:r>
          <w:r>
            <w:rPr>
              <w:sz w:val="24"/>
              <w:szCs w:val="24"/>
            </w:rPr>
            <w:fldChar w:fldCharType="begin"/>
          </w:r>
          <w:r>
            <w:rPr>
              <w:sz w:val="24"/>
              <w:szCs w:val="24"/>
            </w:rPr>
            <w:instrText xml:space="preserve"> PAGEREF _Toc2914 \h </w:instrText>
          </w:r>
          <w:r>
            <w:rPr>
              <w:sz w:val="24"/>
              <w:szCs w:val="24"/>
            </w:rPr>
            <w:fldChar w:fldCharType="separate"/>
          </w:r>
          <w:r>
            <w:rPr>
              <w:sz w:val="24"/>
              <w:szCs w:val="24"/>
            </w:rPr>
            <w:t>- 20 -</w:t>
          </w:r>
          <w:r>
            <w:rPr>
              <w:sz w:val="24"/>
              <w:szCs w:val="24"/>
            </w:rPr>
            <w:fldChar w:fldCharType="end"/>
          </w:r>
          <w:r>
            <w:rPr>
              <w:sz w:val="24"/>
              <w:szCs w:val="24"/>
            </w:rPr>
            <w:fldChar w:fldCharType="end"/>
          </w:r>
        </w:p>
        <w:p w14:paraId="7D8EF186">
          <w:pPr>
            <w:pStyle w:val="38"/>
            <w:tabs>
              <w:tab w:val="right" w:leader="dot" w:pos="9639"/>
            </w:tabs>
            <w:rPr>
              <w:sz w:val="24"/>
              <w:szCs w:val="24"/>
            </w:rPr>
          </w:pPr>
          <w:r>
            <w:rPr>
              <w:sz w:val="24"/>
              <w:szCs w:val="24"/>
            </w:rPr>
            <w:fldChar w:fldCharType="begin"/>
          </w:r>
          <w:r>
            <w:rPr>
              <w:sz w:val="24"/>
              <w:szCs w:val="24"/>
            </w:rPr>
            <w:instrText xml:space="preserve"> HYPERLINK \l _Toc26086 </w:instrText>
          </w:r>
          <w:r>
            <w:rPr>
              <w:sz w:val="24"/>
              <w:szCs w:val="24"/>
            </w:rPr>
            <w:fldChar w:fldCharType="separate"/>
          </w:r>
          <w:r>
            <w:rPr>
              <w:rFonts w:hint="eastAsia" w:ascii="Arial" w:hAnsi="Arial" w:eastAsia="仿宋" w:cs="Times New Roman"/>
              <w:kern w:val="2"/>
              <w:sz w:val="24"/>
              <w:szCs w:val="24"/>
              <w:lang w:val="en-US" w:eastAsia="zh-CN" w:bidi="ar-SA"/>
            </w:rPr>
            <w:t>四、知识产权</w:t>
          </w:r>
          <w:r>
            <w:rPr>
              <w:sz w:val="24"/>
              <w:szCs w:val="24"/>
            </w:rPr>
            <w:tab/>
          </w:r>
          <w:r>
            <w:rPr>
              <w:sz w:val="24"/>
              <w:szCs w:val="24"/>
            </w:rPr>
            <w:fldChar w:fldCharType="begin"/>
          </w:r>
          <w:r>
            <w:rPr>
              <w:sz w:val="24"/>
              <w:szCs w:val="24"/>
            </w:rPr>
            <w:instrText xml:space="preserve"> PAGEREF _Toc26086 \h </w:instrText>
          </w:r>
          <w:r>
            <w:rPr>
              <w:sz w:val="24"/>
              <w:szCs w:val="24"/>
            </w:rPr>
            <w:fldChar w:fldCharType="separate"/>
          </w:r>
          <w:r>
            <w:rPr>
              <w:sz w:val="24"/>
              <w:szCs w:val="24"/>
            </w:rPr>
            <w:t>- 20 -</w:t>
          </w:r>
          <w:r>
            <w:rPr>
              <w:sz w:val="24"/>
              <w:szCs w:val="24"/>
            </w:rPr>
            <w:fldChar w:fldCharType="end"/>
          </w:r>
          <w:r>
            <w:rPr>
              <w:sz w:val="24"/>
              <w:szCs w:val="24"/>
            </w:rPr>
            <w:fldChar w:fldCharType="end"/>
          </w:r>
        </w:p>
        <w:p w14:paraId="1C192BC0">
          <w:pPr>
            <w:pStyle w:val="38"/>
            <w:tabs>
              <w:tab w:val="right" w:leader="dot" w:pos="9639"/>
            </w:tabs>
            <w:rPr>
              <w:sz w:val="24"/>
              <w:szCs w:val="24"/>
            </w:rPr>
          </w:pPr>
          <w:r>
            <w:rPr>
              <w:sz w:val="24"/>
              <w:szCs w:val="24"/>
            </w:rPr>
            <w:fldChar w:fldCharType="begin"/>
          </w:r>
          <w:r>
            <w:rPr>
              <w:sz w:val="24"/>
              <w:szCs w:val="24"/>
            </w:rPr>
            <w:instrText xml:space="preserve"> HYPERLINK \l _Toc9251 </w:instrText>
          </w:r>
          <w:r>
            <w:rPr>
              <w:sz w:val="24"/>
              <w:szCs w:val="24"/>
            </w:rPr>
            <w:fldChar w:fldCharType="separate"/>
          </w:r>
          <w:r>
            <w:rPr>
              <w:rFonts w:hint="eastAsia" w:ascii="Arial" w:hAnsi="Arial" w:eastAsia="仿宋" w:cs="Times New Roman"/>
              <w:kern w:val="2"/>
              <w:sz w:val="24"/>
              <w:szCs w:val="24"/>
              <w:lang w:val="en-US" w:eastAsia="zh-CN" w:bidi="ar-SA"/>
            </w:rPr>
            <w:t>五、其他</w:t>
          </w:r>
          <w:r>
            <w:rPr>
              <w:sz w:val="24"/>
              <w:szCs w:val="24"/>
            </w:rPr>
            <w:tab/>
          </w:r>
          <w:r>
            <w:rPr>
              <w:sz w:val="24"/>
              <w:szCs w:val="24"/>
            </w:rPr>
            <w:fldChar w:fldCharType="begin"/>
          </w:r>
          <w:r>
            <w:rPr>
              <w:sz w:val="24"/>
              <w:szCs w:val="24"/>
            </w:rPr>
            <w:instrText xml:space="preserve"> PAGEREF _Toc9251 \h </w:instrText>
          </w:r>
          <w:r>
            <w:rPr>
              <w:sz w:val="24"/>
              <w:szCs w:val="24"/>
            </w:rPr>
            <w:fldChar w:fldCharType="separate"/>
          </w:r>
          <w:r>
            <w:rPr>
              <w:sz w:val="24"/>
              <w:szCs w:val="24"/>
            </w:rPr>
            <w:t>- 21 -</w:t>
          </w:r>
          <w:r>
            <w:rPr>
              <w:sz w:val="24"/>
              <w:szCs w:val="24"/>
            </w:rPr>
            <w:fldChar w:fldCharType="end"/>
          </w:r>
          <w:r>
            <w:rPr>
              <w:sz w:val="24"/>
              <w:szCs w:val="24"/>
            </w:rPr>
            <w:fldChar w:fldCharType="end"/>
          </w:r>
        </w:p>
        <w:p w14:paraId="58B326FF">
          <w:pPr>
            <w:pStyle w:val="46"/>
            <w:tabs>
              <w:tab w:val="right" w:leader="dot" w:pos="9639"/>
            </w:tabs>
            <w:rPr>
              <w:sz w:val="24"/>
              <w:szCs w:val="24"/>
            </w:rPr>
          </w:pPr>
          <w:r>
            <w:rPr>
              <w:sz w:val="24"/>
              <w:szCs w:val="24"/>
            </w:rPr>
            <w:fldChar w:fldCharType="begin"/>
          </w:r>
          <w:r>
            <w:rPr>
              <w:sz w:val="24"/>
              <w:szCs w:val="24"/>
            </w:rPr>
            <w:instrText xml:space="preserve"> HYPERLINK \l _Toc28288 </w:instrText>
          </w:r>
          <w:r>
            <w:rPr>
              <w:sz w:val="24"/>
              <w:szCs w:val="24"/>
            </w:rPr>
            <w:fldChar w:fldCharType="separate"/>
          </w:r>
          <w:r>
            <w:rPr>
              <w:rFonts w:hint="eastAsia" w:ascii="仿宋" w:hAnsi="仿宋" w:eastAsia="仿宋" w:cs="仿宋"/>
              <w:kern w:val="2"/>
              <w:sz w:val="24"/>
              <w:szCs w:val="24"/>
              <w:lang w:val="en-US" w:eastAsia="zh-CN" w:bidi="ar-SA"/>
            </w:rPr>
            <w:t>（一）投标人履约责任</w:t>
          </w:r>
          <w:r>
            <w:rPr>
              <w:sz w:val="24"/>
              <w:szCs w:val="24"/>
            </w:rPr>
            <w:tab/>
          </w:r>
          <w:r>
            <w:rPr>
              <w:sz w:val="24"/>
              <w:szCs w:val="24"/>
            </w:rPr>
            <w:fldChar w:fldCharType="begin"/>
          </w:r>
          <w:r>
            <w:rPr>
              <w:sz w:val="24"/>
              <w:szCs w:val="24"/>
            </w:rPr>
            <w:instrText xml:space="preserve"> PAGEREF _Toc28288 \h </w:instrText>
          </w:r>
          <w:r>
            <w:rPr>
              <w:sz w:val="24"/>
              <w:szCs w:val="24"/>
            </w:rPr>
            <w:fldChar w:fldCharType="separate"/>
          </w:r>
          <w:r>
            <w:rPr>
              <w:sz w:val="24"/>
              <w:szCs w:val="24"/>
            </w:rPr>
            <w:t>- 21 -</w:t>
          </w:r>
          <w:r>
            <w:rPr>
              <w:sz w:val="24"/>
              <w:szCs w:val="24"/>
            </w:rPr>
            <w:fldChar w:fldCharType="end"/>
          </w:r>
          <w:r>
            <w:rPr>
              <w:sz w:val="24"/>
              <w:szCs w:val="24"/>
            </w:rPr>
            <w:fldChar w:fldCharType="end"/>
          </w:r>
        </w:p>
        <w:p w14:paraId="560542AE">
          <w:pPr>
            <w:pStyle w:val="46"/>
            <w:tabs>
              <w:tab w:val="right" w:leader="dot" w:pos="9639"/>
            </w:tabs>
            <w:rPr>
              <w:sz w:val="24"/>
              <w:szCs w:val="24"/>
            </w:rPr>
          </w:pPr>
          <w:r>
            <w:rPr>
              <w:sz w:val="24"/>
              <w:szCs w:val="24"/>
            </w:rPr>
            <w:fldChar w:fldCharType="begin"/>
          </w:r>
          <w:r>
            <w:rPr>
              <w:sz w:val="24"/>
              <w:szCs w:val="24"/>
            </w:rPr>
            <w:instrText xml:space="preserve"> HYPERLINK \l _Toc29914 </w:instrText>
          </w:r>
          <w:r>
            <w:rPr>
              <w:sz w:val="24"/>
              <w:szCs w:val="24"/>
            </w:rPr>
            <w:fldChar w:fldCharType="separate"/>
          </w:r>
          <w:r>
            <w:rPr>
              <w:rFonts w:hint="eastAsia" w:ascii="仿宋" w:hAnsi="仿宋" w:eastAsia="仿宋" w:cs="仿宋"/>
              <w:kern w:val="2"/>
              <w:sz w:val="24"/>
              <w:szCs w:val="24"/>
              <w:lang w:val="en-US" w:eastAsia="zh-CN" w:bidi="ar-SA"/>
            </w:rPr>
            <w:t>（二）投标人违约责任</w:t>
          </w:r>
          <w:r>
            <w:rPr>
              <w:sz w:val="24"/>
              <w:szCs w:val="24"/>
            </w:rPr>
            <w:tab/>
          </w:r>
          <w:r>
            <w:rPr>
              <w:sz w:val="24"/>
              <w:szCs w:val="24"/>
            </w:rPr>
            <w:fldChar w:fldCharType="begin"/>
          </w:r>
          <w:r>
            <w:rPr>
              <w:sz w:val="24"/>
              <w:szCs w:val="24"/>
            </w:rPr>
            <w:instrText xml:space="preserve"> PAGEREF _Toc29914 \h </w:instrText>
          </w:r>
          <w:r>
            <w:rPr>
              <w:sz w:val="24"/>
              <w:szCs w:val="24"/>
            </w:rPr>
            <w:fldChar w:fldCharType="separate"/>
          </w:r>
          <w:r>
            <w:rPr>
              <w:sz w:val="24"/>
              <w:szCs w:val="24"/>
            </w:rPr>
            <w:t>- 21 -</w:t>
          </w:r>
          <w:r>
            <w:rPr>
              <w:sz w:val="24"/>
              <w:szCs w:val="24"/>
            </w:rPr>
            <w:fldChar w:fldCharType="end"/>
          </w:r>
          <w:r>
            <w:rPr>
              <w:sz w:val="24"/>
              <w:szCs w:val="24"/>
            </w:rPr>
            <w:fldChar w:fldCharType="end"/>
          </w:r>
        </w:p>
        <w:p w14:paraId="78FF48C8">
          <w:pPr>
            <w:pStyle w:val="38"/>
            <w:tabs>
              <w:tab w:val="right" w:leader="dot" w:pos="9639"/>
            </w:tabs>
            <w:rPr>
              <w:sz w:val="24"/>
              <w:szCs w:val="24"/>
            </w:rPr>
          </w:pPr>
          <w:r>
            <w:rPr>
              <w:sz w:val="24"/>
              <w:szCs w:val="24"/>
            </w:rPr>
            <w:fldChar w:fldCharType="begin"/>
          </w:r>
          <w:r>
            <w:rPr>
              <w:sz w:val="24"/>
              <w:szCs w:val="24"/>
            </w:rPr>
            <w:instrText xml:space="preserve"> HYPERLINK \l _Toc4974 </w:instrText>
          </w:r>
          <w:r>
            <w:rPr>
              <w:sz w:val="24"/>
              <w:szCs w:val="24"/>
            </w:rPr>
            <w:fldChar w:fldCharType="separate"/>
          </w:r>
          <w:r>
            <w:rPr>
              <w:rFonts w:hint="eastAsia" w:ascii="方正小标宋_GBK" w:hAnsi="方正小标宋_GBK" w:eastAsia="方正小标宋_GBK" w:cs="方正小标宋_GBK"/>
              <w:bCs w:val="0"/>
              <w:sz w:val="24"/>
              <w:szCs w:val="24"/>
            </w:rPr>
            <w:t>第四篇 资格审查及评分办法</w:t>
          </w:r>
          <w:r>
            <w:rPr>
              <w:sz w:val="24"/>
              <w:szCs w:val="24"/>
            </w:rPr>
            <w:tab/>
          </w:r>
          <w:r>
            <w:rPr>
              <w:sz w:val="24"/>
              <w:szCs w:val="24"/>
            </w:rPr>
            <w:fldChar w:fldCharType="begin"/>
          </w:r>
          <w:r>
            <w:rPr>
              <w:sz w:val="24"/>
              <w:szCs w:val="24"/>
            </w:rPr>
            <w:instrText xml:space="preserve"> PAGEREF _Toc4974 \h </w:instrText>
          </w:r>
          <w:r>
            <w:rPr>
              <w:sz w:val="24"/>
              <w:szCs w:val="24"/>
            </w:rPr>
            <w:fldChar w:fldCharType="separate"/>
          </w:r>
          <w:r>
            <w:rPr>
              <w:sz w:val="24"/>
              <w:szCs w:val="24"/>
            </w:rPr>
            <w:t>- 22 -</w:t>
          </w:r>
          <w:r>
            <w:rPr>
              <w:sz w:val="24"/>
              <w:szCs w:val="24"/>
            </w:rPr>
            <w:fldChar w:fldCharType="end"/>
          </w:r>
          <w:r>
            <w:rPr>
              <w:sz w:val="24"/>
              <w:szCs w:val="24"/>
            </w:rPr>
            <w:fldChar w:fldCharType="end"/>
          </w:r>
        </w:p>
        <w:p w14:paraId="7B0D8C98">
          <w:pPr>
            <w:pStyle w:val="38"/>
            <w:tabs>
              <w:tab w:val="right" w:leader="dot" w:pos="9639"/>
            </w:tabs>
            <w:rPr>
              <w:sz w:val="24"/>
              <w:szCs w:val="24"/>
            </w:rPr>
          </w:pPr>
          <w:r>
            <w:rPr>
              <w:sz w:val="24"/>
              <w:szCs w:val="24"/>
            </w:rPr>
            <w:fldChar w:fldCharType="begin"/>
          </w:r>
          <w:r>
            <w:rPr>
              <w:sz w:val="24"/>
              <w:szCs w:val="24"/>
            </w:rPr>
            <w:instrText xml:space="preserve"> HYPERLINK \l _Toc15614 </w:instrText>
          </w:r>
          <w:r>
            <w:rPr>
              <w:sz w:val="24"/>
              <w:szCs w:val="24"/>
            </w:rPr>
            <w:fldChar w:fldCharType="separate"/>
          </w:r>
          <w:r>
            <w:rPr>
              <w:rFonts w:hint="eastAsia" w:ascii="方正黑体_GBK" w:hAnsi="方正黑体_GBK" w:eastAsia="方正黑体_GBK" w:cs="方正黑体_GBK"/>
              <w:sz w:val="24"/>
              <w:szCs w:val="24"/>
            </w:rPr>
            <w:t>一、资格审查</w:t>
          </w:r>
          <w:r>
            <w:rPr>
              <w:sz w:val="24"/>
              <w:szCs w:val="24"/>
            </w:rPr>
            <w:tab/>
          </w:r>
          <w:r>
            <w:rPr>
              <w:sz w:val="24"/>
              <w:szCs w:val="24"/>
            </w:rPr>
            <w:fldChar w:fldCharType="begin"/>
          </w:r>
          <w:r>
            <w:rPr>
              <w:sz w:val="24"/>
              <w:szCs w:val="24"/>
            </w:rPr>
            <w:instrText xml:space="preserve"> PAGEREF _Toc15614 \h </w:instrText>
          </w:r>
          <w:r>
            <w:rPr>
              <w:sz w:val="24"/>
              <w:szCs w:val="24"/>
            </w:rPr>
            <w:fldChar w:fldCharType="separate"/>
          </w:r>
          <w:r>
            <w:rPr>
              <w:sz w:val="24"/>
              <w:szCs w:val="24"/>
            </w:rPr>
            <w:t>- 22 -</w:t>
          </w:r>
          <w:r>
            <w:rPr>
              <w:sz w:val="24"/>
              <w:szCs w:val="24"/>
            </w:rPr>
            <w:fldChar w:fldCharType="end"/>
          </w:r>
          <w:r>
            <w:rPr>
              <w:sz w:val="24"/>
              <w:szCs w:val="24"/>
            </w:rPr>
            <w:fldChar w:fldCharType="end"/>
          </w:r>
        </w:p>
        <w:p w14:paraId="3D15B94A">
          <w:pPr>
            <w:pStyle w:val="38"/>
            <w:tabs>
              <w:tab w:val="right" w:leader="dot" w:pos="9639"/>
            </w:tabs>
            <w:rPr>
              <w:sz w:val="24"/>
              <w:szCs w:val="24"/>
            </w:rPr>
          </w:pPr>
          <w:r>
            <w:rPr>
              <w:sz w:val="24"/>
              <w:szCs w:val="24"/>
            </w:rPr>
            <w:fldChar w:fldCharType="begin"/>
          </w:r>
          <w:r>
            <w:rPr>
              <w:sz w:val="24"/>
              <w:szCs w:val="24"/>
            </w:rPr>
            <w:instrText xml:space="preserve"> HYPERLINK \l _Toc8660 </w:instrText>
          </w:r>
          <w:r>
            <w:rPr>
              <w:sz w:val="24"/>
              <w:szCs w:val="24"/>
            </w:rPr>
            <w:fldChar w:fldCharType="separate"/>
          </w:r>
          <w:r>
            <w:rPr>
              <w:rFonts w:hint="eastAsia" w:ascii="方正黑体_GBK" w:hAnsi="方正黑体_GBK" w:eastAsia="方正黑体_GBK" w:cs="方正黑体_GBK"/>
              <w:sz w:val="24"/>
              <w:szCs w:val="24"/>
            </w:rPr>
            <w:t>二、评审方法</w:t>
          </w:r>
          <w:r>
            <w:rPr>
              <w:sz w:val="24"/>
              <w:szCs w:val="24"/>
            </w:rPr>
            <w:tab/>
          </w:r>
          <w:r>
            <w:rPr>
              <w:sz w:val="24"/>
              <w:szCs w:val="24"/>
            </w:rPr>
            <w:fldChar w:fldCharType="begin"/>
          </w:r>
          <w:r>
            <w:rPr>
              <w:sz w:val="24"/>
              <w:szCs w:val="24"/>
            </w:rPr>
            <w:instrText xml:space="preserve"> PAGEREF _Toc8660 \h </w:instrText>
          </w:r>
          <w:r>
            <w:rPr>
              <w:sz w:val="24"/>
              <w:szCs w:val="24"/>
            </w:rPr>
            <w:fldChar w:fldCharType="separate"/>
          </w:r>
          <w:r>
            <w:rPr>
              <w:sz w:val="24"/>
              <w:szCs w:val="24"/>
            </w:rPr>
            <w:t>- 22 -</w:t>
          </w:r>
          <w:r>
            <w:rPr>
              <w:sz w:val="24"/>
              <w:szCs w:val="24"/>
            </w:rPr>
            <w:fldChar w:fldCharType="end"/>
          </w:r>
          <w:r>
            <w:rPr>
              <w:sz w:val="24"/>
              <w:szCs w:val="24"/>
            </w:rPr>
            <w:fldChar w:fldCharType="end"/>
          </w:r>
        </w:p>
        <w:p w14:paraId="14D256FD">
          <w:pPr>
            <w:pStyle w:val="38"/>
            <w:tabs>
              <w:tab w:val="right" w:leader="dot" w:pos="9639"/>
            </w:tabs>
            <w:rPr>
              <w:sz w:val="24"/>
              <w:szCs w:val="24"/>
            </w:rPr>
          </w:pPr>
          <w:r>
            <w:rPr>
              <w:sz w:val="24"/>
              <w:szCs w:val="24"/>
            </w:rPr>
            <w:fldChar w:fldCharType="begin"/>
          </w:r>
          <w:r>
            <w:rPr>
              <w:sz w:val="24"/>
              <w:szCs w:val="24"/>
            </w:rPr>
            <w:instrText xml:space="preserve"> HYPERLINK \l _Toc14958 </w:instrText>
          </w:r>
          <w:r>
            <w:rPr>
              <w:sz w:val="24"/>
              <w:szCs w:val="24"/>
            </w:rPr>
            <w:fldChar w:fldCharType="separate"/>
          </w:r>
          <w:r>
            <w:rPr>
              <w:rFonts w:hint="eastAsia" w:ascii="方正黑体_GBK" w:hAnsi="方正黑体_GBK" w:eastAsia="方正黑体_GBK" w:cs="方正黑体_GBK"/>
              <w:sz w:val="24"/>
              <w:szCs w:val="24"/>
            </w:rPr>
            <w:t>三、评分标准</w:t>
          </w:r>
          <w:r>
            <w:rPr>
              <w:sz w:val="24"/>
              <w:szCs w:val="24"/>
            </w:rPr>
            <w:tab/>
          </w:r>
          <w:r>
            <w:rPr>
              <w:sz w:val="24"/>
              <w:szCs w:val="24"/>
            </w:rPr>
            <w:fldChar w:fldCharType="begin"/>
          </w:r>
          <w:r>
            <w:rPr>
              <w:sz w:val="24"/>
              <w:szCs w:val="24"/>
            </w:rPr>
            <w:instrText xml:space="preserve"> PAGEREF _Toc14958 \h </w:instrText>
          </w:r>
          <w:r>
            <w:rPr>
              <w:sz w:val="24"/>
              <w:szCs w:val="24"/>
            </w:rPr>
            <w:fldChar w:fldCharType="separate"/>
          </w:r>
          <w:r>
            <w:rPr>
              <w:sz w:val="24"/>
              <w:szCs w:val="24"/>
            </w:rPr>
            <w:t>- 23 -</w:t>
          </w:r>
          <w:r>
            <w:rPr>
              <w:sz w:val="24"/>
              <w:szCs w:val="24"/>
            </w:rPr>
            <w:fldChar w:fldCharType="end"/>
          </w:r>
          <w:r>
            <w:rPr>
              <w:sz w:val="24"/>
              <w:szCs w:val="24"/>
            </w:rPr>
            <w:fldChar w:fldCharType="end"/>
          </w:r>
        </w:p>
        <w:p w14:paraId="417DAEF2">
          <w:pPr>
            <w:pStyle w:val="38"/>
            <w:tabs>
              <w:tab w:val="right" w:leader="dot" w:pos="9639"/>
            </w:tabs>
            <w:rPr>
              <w:sz w:val="24"/>
              <w:szCs w:val="24"/>
            </w:rPr>
          </w:pPr>
          <w:r>
            <w:rPr>
              <w:sz w:val="24"/>
              <w:szCs w:val="24"/>
            </w:rPr>
            <w:fldChar w:fldCharType="begin"/>
          </w:r>
          <w:r>
            <w:rPr>
              <w:sz w:val="24"/>
              <w:szCs w:val="24"/>
            </w:rPr>
            <w:instrText xml:space="preserve"> HYPERLINK \l _Toc6210 </w:instrText>
          </w:r>
          <w:r>
            <w:rPr>
              <w:sz w:val="24"/>
              <w:szCs w:val="24"/>
            </w:rPr>
            <w:fldChar w:fldCharType="separate"/>
          </w:r>
          <w:r>
            <w:rPr>
              <w:rFonts w:hint="eastAsia" w:ascii="方正黑体_GBK" w:hAnsi="方正黑体_GBK" w:eastAsia="方正黑体_GBK" w:cs="方正黑体_GBK"/>
              <w:sz w:val="24"/>
              <w:szCs w:val="24"/>
            </w:rPr>
            <w:t>四、无效投标条款</w:t>
          </w:r>
          <w:r>
            <w:rPr>
              <w:sz w:val="24"/>
              <w:szCs w:val="24"/>
            </w:rPr>
            <w:tab/>
          </w:r>
          <w:r>
            <w:rPr>
              <w:sz w:val="24"/>
              <w:szCs w:val="24"/>
            </w:rPr>
            <w:fldChar w:fldCharType="begin"/>
          </w:r>
          <w:r>
            <w:rPr>
              <w:sz w:val="24"/>
              <w:szCs w:val="24"/>
            </w:rPr>
            <w:instrText xml:space="preserve"> PAGEREF _Toc6210 \h </w:instrText>
          </w:r>
          <w:r>
            <w:rPr>
              <w:sz w:val="24"/>
              <w:szCs w:val="24"/>
            </w:rPr>
            <w:fldChar w:fldCharType="separate"/>
          </w:r>
          <w:r>
            <w:rPr>
              <w:sz w:val="24"/>
              <w:szCs w:val="24"/>
            </w:rPr>
            <w:t>- 25 -</w:t>
          </w:r>
          <w:r>
            <w:rPr>
              <w:sz w:val="24"/>
              <w:szCs w:val="24"/>
            </w:rPr>
            <w:fldChar w:fldCharType="end"/>
          </w:r>
          <w:r>
            <w:rPr>
              <w:sz w:val="24"/>
              <w:szCs w:val="24"/>
            </w:rPr>
            <w:fldChar w:fldCharType="end"/>
          </w:r>
        </w:p>
        <w:p w14:paraId="302CFCDA">
          <w:pPr>
            <w:pStyle w:val="38"/>
            <w:tabs>
              <w:tab w:val="right" w:leader="dot" w:pos="9639"/>
            </w:tabs>
            <w:rPr>
              <w:sz w:val="24"/>
              <w:szCs w:val="24"/>
            </w:rPr>
          </w:pPr>
          <w:r>
            <w:rPr>
              <w:sz w:val="24"/>
              <w:szCs w:val="24"/>
            </w:rPr>
            <w:fldChar w:fldCharType="begin"/>
          </w:r>
          <w:r>
            <w:rPr>
              <w:sz w:val="24"/>
              <w:szCs w:val="24"/>
            </w:rPr>
            <w:instrText xml:space="preserve"> HYPERLINK \l _Toc20756 </w:instrText>
          </w:r>
          <w:r>
            <w:rPr>
              <w:sz w:val="24"/>
              <w:szCs w:val="24"/>
            </w:rPr>
            <w:fldChar w:fldCharType="separate"/>
          </w:r>
          <w:r>
            <w:rPr>
              <w:rFonts w:hint="eastAsia" w:ascii="方正黑体_GBK" w:hAnsi="方正黑体_GBK" w:eastAsia="方正黑体_GBK" w:cs="方正黑体_GBK"/>
              <w:sz w:val="24"/>
              <w:szCs w:val="24"/>
            </w:rPr>
            <w:t>五、废标条款</w:t>
          </w:r>
          <w:r>
            <w:rPr>
              <w:sz w:val="24"/>
              <w:szCs w:val="24"/>
            </w:rPr>
            <w:tab/>
          </w:r>
          <w:r>
            <w:rPr>
              <w:sz w:val="24"/>
              <w:szCs w:val="24"/>
            </w:rPr>
            <w:fldChar w:fldCharType="begin"/>
          </w:r>
          <w:r>
            <w:rPr>
              <w:sz w:val="24"/>
              <w:szCs w:val="24"/>
            </w:rPr>
            <w:instrText xml:space="preserve"> PAGEREF _Toc20756 \h </w:instrText>
          </w:r>
          <w:r>
            <w:rPr>
              <w:sz w:val="24"/>
              <w:szCs w:val="24"/>
            </w:rPr>
            <w:fldChar w:fldCharType="separate"/>
          </w:r>
          <w:r>
            <w:rPr>
              <w:sz w:val="24"/>
              <w:szCs w:val="24"/>
            </w:rPr>
            <w:t>- 26 -</w:t>
          </w:r>
          <w:r>
            <w:rPr>
              <w:sz w:val="24"/>
              <w:szCs w:val="24"/>
            </w:rPr>
            <w:fldChar w:fldCharType="end"/>
          </w:r>
          <w:r>
            <w:rPr>
              <w:sz w:val="24"/>
              <w:szCs w:val="24"/>
            </w:rPr>
            <w:fldChar w:fldCharType="end"/>
          </w:r>
        </w:p>
        <w:p w14:paraId="1C2CAB90">
          <w:pPr>
            <w:pStyle w:val="38"/>
            <w:tabs>
              <w:tab w:val="right" w:leader="dot" w:pos="9639"/>
            </w:tabs>
            <w:rPr>
              <w:sz w:val="24"/>
              <w:szCs w:val="24"/>
            </w:rPr>
          </w:pPr>
          <w:r>
            <w:rPr>
              <w:sz w:val="24"/>
              <w:szCs w:val="24"/>
            </w:rPr>
            <w:fldChar w:fldCharType="begin"/>
          </w:r>
          <w:r>
            <w:rPr>
              <w:sz w:val="24"/>
              <w:szCs w:val="24"/>
            </w:rPr>
            <w:instrText xml:space="preserve"> HYPERLINK \l _Toc5155 </w:instrText>
          </w:r>
          <w:r>
            <w:rPr>
              <w:sz w:val="24"/>
              <w:szCs w:val="24"/>
            </w:rPr>
            <w:fldChar w:fldCharType="separate"/>
          </w:r>
          <w:r>
            <w:rPr>
              <w:rFonts w:hint="eastAsia" w:ascii="方正小标宋_GBK" w:hAnsi="方正小标宋_GBK" w:eastAsia="方正小标宋_GBK" w:cs="方正小标宋_GBK"/>
              <w:sz w:val="24"/>
              <w:szCs w:val="24"/>
            </w:rPr>
            <w:t>第五篇  投标人须知</w:t>
          </w:r>
          <w:r>
            <w:rPr>
              <w:sz w:val="24"/>
              <w:szCs w:val="24"/>
            </w:rPr>
            <w:tab/>
          </w:r>
          <w:r>
            <w:rPr>
              <w:sz w:val="24"/>
              <w:szCs w:val="24"/>
            </w:rPr>
            <w:fldChar w:fldCharType="begin"/>
          </w:r>
          <w:r>
            <w:rPr>
              <w:sz w:val="24"/>
              <w:szCs w:val="24"/>
            </w:rPr>
            <w:instrText xml:space="preserve"> PAGEREF _Toc5155 \h </w:instrText>
          </w:r>
          <w:r>
            <w:rPr>
              <w:sz w:val="24"/>
              <w:szCs w:val="24"/>
            </w:rPr>
            <w:fldChar w:fldCharType="separate"/>
          </w:r>
          <w:r>
            <w:rPr>
              <w:sz w:val="24"/>
              <w:szCs w:val="24"/>
            </w:rPr>
            <w:t>- 27 -</w:t>
          </w:r>
          <w:r>
            <w:rPr>
              <w:sz w:val="24"/>
              <w:szCs w:val="24"/>
            </w:rPr>
            <w:fldChar w:fldCharType="end"/>
          </w:r>
          <w:r>
            <w:rPr>
              <w:sz w:val="24"/>
              <w:szCs w:val="24"/>
            </w:rPr>
            <w:fldChar w:fldCharType="end"/>
          </w:r>
        </w:p>
        <w:p w14:paraId="5A605CDC">
          <w:pPr>
            <w:pStyle w:val="38"/>
            <w:tabs>
              <w:tab w:val="right" w:leader="dot" w:pos="9639"/>
            </w:tabs>
            <w:rPr>
              <w:sz w:val="24"/>
              <w:szCs w:val="24"/>
            </w:rPr>
          </w:pPr>
          <w:r>
            <w:rPr>
              <w:sz w:val="24"/>
              <w:szCs w:val="24"/>
            </w:rPr>
            <w:fldChar w:fldCharType="begin"/>
          </w:r>
          <w:r>
            <w:rPr>
              <w:sz w:val="24"/>
              <w:szCs w:val="24"/>
            </w:rPr>
            <w:instrText xml:space="preserve"> HYPERLINK \l _Toc5398 </w:instrText>
          </w:r>
          <w:r>
            <w:rPr>
              <w:sz w:val="24"/>
              <w:szCs w:val="24"/>
            </w:rPr>
            <w:fldChar w:fldCharType="separate"/>
          </w:r>
          <w:r>
            <w:rPr>
              <w:rFonts w:hint="eastAsia" w:ascii="方正黑体_GBK" w:hAnsi="方正黑体_GBK" w:eastAsia="方正黑体_GBK" w:cs="方正黑体_GBK"/>
              <w:sz w:val="24"/>
              <w:szCs w:val="24"/>
            </w:rPr>
            <w:t>一、投标人</w:t>
          </w:r>
          <w:r>
            <w:rPr>
              <w:sz w:val="24"/>
              <w:szCs w:val="24"/>
            </w:rPr>
            <w:tab/>
          </w:r>
          <w:r>
            <w:rPr>
              <w:sz w:val="24"/>
              <w:szCs w:val="24"/>
            </w:rPr>
            <w:fldChar w:fldCharType="begin"/>
          </w:r>
          <w:r>
            <w:rPr>
              <w:sz w:val="24"/>
              <w:szCs w:val="24"/>
            </w:rPr>
            <w:instrText xml:space="preserve"> PAGEREF _Toc5398 \h </w:instrText>
          </w:r>
          <w:r>
            <w:rPr>
              <w:sz w:val="24"/>
              <w:szCs w:val="24"/>
            </w:rPr>
            <w:fldChar w:fldCharType="separate"/>
          </w:r>
          <w:r>
            <w:rPr>
              <w:sz w:val="24"/>
              <w:szCs w:val="24"/>
            </w:rPr>
            <w:t>- 27 -</w:t>
          </w:r>
          <w:r>
            <w:rPr>
              <w:sz w:val="24"/>
              <w:szCs w:val="24"/>
            </w:rPr>
            <w:fldChar w:fldCharType="end"/>
          </w:r>
          <w:r>
            <w:rPr>
              <w:sz w:val="24"/>
              <w:szCs w:val="24"/>
            </w:rPr>
            <w:fldChar w:fldCharType="end"/>
          </w:r>
        </w:p>
        <w:p w14:paraId="1D16E9BA">
          <w:pPr>
            <w:pStyle w:val="46"/>
            <w:tabs>
              <w:tab w:val="right" w:leader="dot" w:pos="9639"/>
            </w:tabs>
            <w:rPr>
              <w:sz w:val="24"/>
              <w:szCs w:val="24"/>
            </w:rPr>
          </w:pPr>
          <w:r>
            <w:rPr>
              <w:sz w:val="24"/>
              <w:szCs w:val="24"/>
            </w:rPr>
            <w:fldChar w:fldCharType="begin"/>
          </w:r>
          <w:r>
            <w:rPr>
              <w:sz w:val="24"/>
              <w:szCs w:val="24"/>
            </w:rPr>
            <w:instrText xml:space="preserve"> HYPERLINK \l _Toc15304 </w:instrText>
          </w:r>
          <w:r>
            <w:rPr>
              <w:sz w:val="24"/>
              <w:szCs w:val="24"/>
            </w:rPr>
            <w:fldChar w:fldCharType="separate"/>
          </w:r>
          <w:r>
            <w:rPr>
              <w:rFonts w:hint="eastAsia" w:ascii="方正楷体_GBK" w:hAnsi="方正楷体_GBK" w:eastAsia="方正楷体_GBK" w:cs="方正楷体_GBK"/>
              <w:sz w:val="24"/>
              <w:szCs w:val="24"/>
            </w:rPr>
            <w:t>（一）投标人</w:t>
          </w:r>
          <w:r>
            <w:rPr>
              <w:sz w:val="24"/>
              <w:szCs w:val="24"/>
            </w:rPr>
            <w:tab/>
          </w:r>
          <w:r>
            <w:rPr>
              <w:sz w:val="24"/>
              <w:szCs w:val="24"/>
            </w:rPr>
            <w:fldChar w:fldCharType="begin"/>
          </w:r>
          <w:r>
            <w:rPr>
              <w:sz w:val="24"/>
              <w:szCs w:val="24"/>
            </w:rPr>
            <w:instrText xml:space="preserve"> PAGEREF _Toc15304 \h </w:instrText>
          </w:r>
          <w:r>
            <w:rPr>
              <w:sz w:val="24"/>
              <w:szCs w:val="24"/>
            </w:rPr>
            <w:fldChar w:fldCharType="separate"/>
          </w:r>
          <w:r>
            <w:rPr>
              <w:sz w:val="24"/>
              <w:szCs w:val="24"/>
            </w:rPr>
            <w:t>- 27 -</w:t>
          </w:r>
          <w:r>
            <w:rPr>
              <w:sz w:val="24"/>
              <w:szCs w:val="24"/>
            </w:rPr>
            <w:fldChar w:fldCharType="end"/>
          </w:r>
          <w:r>
            <w:rPr>
              <w:sz w:val="24"/>
              <w:szCs w:val="24"/>
            </w:rPr>
            <w:fldChar w:fldCharType="end"/>
          </w:r>
        </w:p>
        <w:p w14:paraId="09736F02">
          <w:pPr>
            <w:pStyle w:val="46"/>
            <w:tabs>
              <w:tab w:val="right" w:leader="dot" w:pos="9639"/>
            </w:tabs>
            <w:rPr>
              <w:sz w:val="24"/>
              <w:szCs w:val="24"/>
            </w:rPr>
          </w:pPr>
          <w:r>
            <w:rPr>
              <w:sz w:val="24"/>
              <w:szCs w:val="24"/>
            </w:rPr>
            <w:fldChar w:fldCharType="begin"/>
          </w:r>
          <w:r>
            <w:rPr>
              <w:sz w:val="24"/>
              <w:szCs w:val="24"/>
            </w:rPr>
            <w:instrText xml:space="preserve"> HYPERLINK \l _Toc29502 </w:instrText>
          </w:r>
          <w:r>
            <w:rPr>
              <w:sz w:val="24"/>
              <w:szCs w:val="24"/>
            </w:rPr>
            <w:fldChar w:fldCharType="separate"/>
          </w:r>
          <w:r>
            <w:rPr>
              <w:rFonts w:hint="eastAsia" w:ascii="方正楷体_GBK" w:hAnsi="方正楷体_GBK" w:eastAsia="方正楷体_GBK" w:cs="方正楷体_GBK"/>
              <w:sz w:val="24"/>
              <w:szCs w:val="24"/>
            </w:rPr>
            <w:t>（二）合格投标人条件</w:t>
          </w:r>
          <w:r>
            <w:rPr>
              <w:sz w:val="24"/>
              <w:szCs w:val="24"/>
            </w:rPr>
            <w:tab/>
          </w:r>
          <w:r>
            <w:rPr>
              <w:sz w:val="24"/>
              <w:szCs w:val="24"/>
            </w:rPr>
            <w:fldChar w:fldCharType="begin"/>
          </w:r>
          <w:r>
            <w:rPr>
              <w:sz w:val="24"/>
              <w:szCs w:val="24"/>
            </w:rPr>
            <w:instrText xml:space="preserve"> PAGEREF _Toc29502 \h </w:instrText>
          </w:r>
          <w:r>
            <w:rPr>
              <w:sz w:val="24"/>
              <w:szCs w:val="24"/>
            </w:rPr>
            <w:fldChar w:fldCharType="separate"/>
          </w:r>
          <w:r>
            <w:rPr>
              <w:sz w:val="24"/>
              <w:szCs w:val="24"/>
            </w:rPr>
            <w:t>- 27 -</w:t>
          </w:r>
          <w:r>
            <w:rPr>
              <w:sz w:val="24"/>
              <w:szCs w:val="24"/>
            </w:rPr>
            <w:fldChar w:fldCharType="end"/>
          </w:r>
          <w:r>
            <w:rPr>
              <w:sz w:val="24"/>
              <w:szCs w:val="24"/>
            </w:rPr>
            <w:fldChar w:fldCharType="end"/>
          </w:r>
        </w:p>
        <w:p w14:paraId="673368BD">
          <w:pPr>
            <w:pStyle w:val="46"/>
            <w:tabs>
              <w:tab w:val="right" w:leader="dot" w:pos="9639"/>
            </w:tabs>
            <w:rPr>
              <w:sz w:val="24"/>
              <w:szCs w:val="24"/>
            </w:rPr>
          </w:pPr>
          <w:r>
            <w:rPr>
              <w:sz w:val="24"/>
              <w:szCs w:val="24"/>
            </w:rPr>
            <w:fldChar w:fldCharType="begin"/>
          </w:r>
          <w:r>
            <w:rPr>
              <w:sz w:val="24"/>
              <w:szCs w:val="24"/>
            </w:rPr>
            <w:instrText xml:space="preserve"> HYPERLINK \l _Toc4523 </w:instrText>
          </w:r>
          <w:r>
            <w:rPr>
              <w:sz w:val="24"/>
              <w:szCs w:val="24"/>
            </w:rPr>
            <w:fldChar w:fldCharType="separate"/>
          </w:r>
          <w:r>
            <w:rPr>
              <w:rFonts w:hint="eastAsia" w:ascii="方正楷体_GBK" w:hAnsi="方正楷体_GBK" w:eastAsia="方正楷体_GBK" w:cs="方正楷体_GBK"/>
              <w:sz w:val="24"/>
              <w:szCs w:val="24"/>
            </w:rPr>
            <w:t>（三）投标人的风险</w:t>
          </w:r>
          <w:r>
            <w:rPr>
              <w:sz w:val="24"/>
              <w:szCs w:val="24"/>
            </w:rPr>
            <w:tab/>
          </w:r>
          <w:r>
            <w:rPr>
              <w:sz w:val="24"/>
              <w:szCs w:val="24"/>
            </w:rPr>
            <w:fldChar w:fldCharType="begin"/>
          </w:r>
          <w:r>
            <w:rPr>
              <w:sz w:val="24"/>
              <w:szCs w:val="24"/>
            </w:rPr>
            <w:instrText xml:space="preserve"> PAGEREF _Toc4523 \h </w:instrText>
          </w:r>
          <w:r>
            <w:rPr>
              <w:sz w:val="24"/>
              <w:szCs w:val="24"/>
            </w:rPr>
            <w:fldChar w:fldCharType="separate"/>
          </w:r>
          <w:r>
            <w:rPr>
              <w:sz w:val="24"/>
              <w:szCs w:val="24"/>
            </w:rPr>
            <w:t>- 27 -</w:t>
          </w:r>
          <w:r>
            <w:rPr>
              <w:sz w:val="24"/>
              <w:szCs w:val="24"/>
            </w:rPr>
            <w:fldChar w:fldCharType="end"/>
          </w:r>
          <w:r>
            <w:rPr>
              <w:sz w:val="24"/>
              <w:szCs w:val="24"/>
            </w:rPr>
            <w:fldChar w:fldCharType="end"/>
          </w:r>
        </w:p>
        <w:p w14:paraId="45255874">
          <w:pPr>
            <w:pStyle w:val="46"/>
            <w:tabs>
              <w:tab w:val="right" w:leader="dot" w:pos="9639"/>
            </w:tabs>
            <w:rPr>
              <w:sz w:val="24"/>
              <w:szCs w:val="24"/>
            </w:rPr>
          </w:pPr>
          <w:r>
            <w:rPr>
              <w:sz w:val="24"/>
              <w:szCs w:val="24"/>
            </w:rPr>
            <w:fldChar w:fldCharType="begin"/>
          </w:r>
          <w:r>
            <w:rPr>
              <w:sz w:val="24"/>
              <w:szCs w:val="24"/>
            </w:rPr>
            <w:instrText xml:space="preserve"> HYPERLINK \l _Toc20902 </w:instrText>
          </w:r>
          <w:r>
            <w:rPr>
              <w:sz w:val="24"/>
              <w:szCs w:val="24"/>
            </w:rPr>
            <w:fldChar w:fldCharType="separate"/>
          </w:r>
          <w:r>
            <w:rPr>
              <w:rFonts w:hint="eastAsia" w:ascii="方正楷体_GBK" w:hAnsi="方正楷体_GBK" w:eastAsia="方正楷体_GBK" w:cs="方正楷体_GBK"/>
              <w:sz w:val="24"/>
              <w:szCs w:val="24"/>
            </w:rPr>
            <w:t>（四）法律责任</w:t>
          </w:r>
          <w:r>
            <w:rPr>
              <w:sz w:val="24"/>
              <w:szCs w:val="24"/>
            </w:rPr>
            <w:tab/>
          </w:r>
          <w:r>
            <w:rPr>
              <w:sz w:val="24"/>
              <w:szCs w:val="24"/>
            </w:rPr>
            <w:fldChar w:fldCharType="begin"/>
          </w:r>
          <w:r>
            <w:rPr>
              <w:sz w:val="24"/>
              <w:szCs w:val="24"/>
            </w:rPr>
            <w:instrText xml:space="preserve"> PAGEREF _Toc20902 \h </w:instrText>
          </w:r>
          <w:r>
            <w:rPr>
              <w:sz w:val="24"/>
              <w:szCs w:val="24"/>
            </w:rPr>
            <w:fldChar w:fldCharType="separate"/>
          </w:r>
          <w:r>
            <w:rPr>
              <w:sz w:val="24"/>
              <w:szCs w:val="24"/>
            </w:rPr>
            <w:t>- 27 -</w:t>
          </w:r>
          <w:r>
            <w:rPr>
              <w:sz w:val="24"/>
              <w:szCs w:val="24"/>
            </w:rPr>
            <w:fldChar w:fldCharType="end"/>
          </w:r>
          <w:r>
            <w:rPr>
              <w:sz w:val="24"/>
              <w:szCs w:val="24"/>
            </w:rPr>
            <w:fldChar w:fldCharType="end"/>
          </w:r>
        </w:p>
        <w:p w14:paraId="53C3AB63">
          <w:pPr>
            <w:pStyle w:val="38"/>
            <w:tabs>
              <w:tab w:val="right" w:leader="dot" w:pos="9639"/>
            </w:tabs>
            <w:rPr>
              <w:sz w:val="24"/>
              <w:szCs w:val="24"/>
            </w:rPr>
          </w:pPr>
          <w:r>
            <w:rPr>
              <w:sz w:val="24"/>
              <w:szCs w:val="24"/>
            </w:rPr>
            <w:fldChar w:fldCharType="begin"/>
          </w:r>
          <w:r>
            <w:rPr>
              <w:sz w:val="24"/>
              <w:szCs w:val="24"/>
            </w:rPr>
            <w:instrText xml:space="preserve"> HYPERLINK \l _Toc17113 </w:instrText>
          </w:r>
          <w:r>
            <w:rPr>
              <w:sz w:val="24"/>
              <w:szCs w:val="24"/>
            </w:rPr>
            <w:fldChar w:fldCharType="separate"/>
          </w:r>
          <w:r>
            <w:rPr>
              <w:rFonts w:hint="eastAsia" w:ascii="方正黑体_GBK" w:hAnsi="方正黑体_GBK" w:eastAsia="方正黑体_GBK" w:cs="方正黑体_GBK"/>
              <w:sz w:val="24"/>
              <w:szCs w:val="24"/>
            </w:rPr>
            <w:t>二、遴选文件</w:t>
          </w:r>
          <w:r>
            <w:rPr>
              <w:sz w:val="24"/>
              <w:szCs w:val="24"/>
            </w:rPr>
            <w:tab/>
          </w:r>
          <w:r>
            <w:rPr>
              <w:sz w:val="24"/>
              <w:szCs w:val="24"/>
            </w:rPr>
            <w:fldChar w:fldCharType="begin"/>
          </w:r>
          <w:r>
            <w:rPr>
              <w:sz w:val="24"/>
              <w:szCs w:val="24"/>
            </w:rPr>
            <w:instrText xml:space="preserve"> PAGEREF _Toc17113 \h </w:instrText>
          </w:r>
          <w:r>
            <w:rPr>
              <w:sz w:val="24"/>
              <w:szCs w:val="24"/>
            </w:rPr>
            <w:fldChar w:fldCharType="separate"/>
          </w:r>
          <w:r>
            <w:rPr>
              <w:sz w:val="24"/>
              <w:szCs w:val="24"/>
            </w:rPr>
            <w:t>- 27 -</w:t>
          </w:r>
          <w:r>
            <w:rPr>
              <w:sz w:val="24"/>
              <w:szCs w:val="24"/>
            </w:rPr>
            <w:fldChar w:fldCharType="end"/>
          </w:r>
          <w:r>
            <w:rPr>
              <w:sz w:val="24"/>
              <w:szCs w:val="24"/>
            </w:rPr>
            <w:fldChar w:fldCharType="end"/>
          </w:r>
        </w:p>
        <w:p w14:paraId="142DD6F5">
          <w:pPr>
            <w:pStyle w:val="38"/>
            <w:tabs>
              <w:tab w:val="right" w:leader="dot" w:pos="9639"/>
            </w:tabs>
            <w:rPr>
              <w:sz w:val="24"/>
              <w:szCs w:val="24"/>
            </w:rPr>
          </w:pPr>
          <w:r>
            <w:rPr>
              <w:sz w:val="24"/>
              <w:szCs w:val="24"/>
            </w:rPr>
            <w:fldChar w:fldCharType="begin"/>
          </w:r>
          <w:r>
            <w:rPr>
              <w:sz w:val="24"/>
              <w:szCs w:val="24"/>
            </w:rPr>
            <w:instrText xml:space="preserve"> HYPERLINK \l _Toc4868 </w:instrText>
          </w:r>
          <w:r>
            <w:rPr>
              <w:sz w:val="24"/>
              <w:szCs w:val="24"/>
            </w:rPr>
            <w:fldChar w:fldCharType="separate"/>
          </w:r>
          <w:r>
            <w:rPr>
              <w:rFonts w:hint="eastAsia" w:ascii="方正黑体_GBK" w:hAnsi="方正黑体_GBK" w:eastAsia="方正黑体_GBK" w:cs="方正黑体_GBK"/>
              <w:sz w:val="24"/>
              <w:szCs w:val="24"/>
            </w:rPr>
            <w:t>三、响应文件</w:t>
          </w:r>
          <w:r>
            <w:rPr>
              <w:sz w:val="24"/>
              <w:szCs w:val="24"/>
            </w:rPr>
            <w:tab/>
          </w:r>
          <w:r>
            <w:rPr>
              <w:sz w:val="24"/>
              <w:szCs w:val="24"/>
            </w:rPr>
            <w:fldChar w:fldCharType="begin"/>
          </w:r>
          <w:r>
            <w:rPr>
              <w:sz w:val="24"/>
              <w:szCs w:val="24"/>
            </w:rPr>
            <w:instrText xml:space="preserve"> PAGEREF _Toc4868 \h </w:instrText>
          </w:r>
          <w:r>
            <w:rPr>
              <w:sz w:val="24"/>
              <w:szCs w:val="24"/>
            </w:rPr>
            <w:fldChar w:fldCharType="separate"/>
          </w:r>
          <w:r>
            <w:rPr>
              <w:sz w:val="24"/>
              <w:szCs w:val="24"/>
            </w:rPr>
            <w:t>- 27 -</w:t>
          </w:r>
          <w:r>
            <w:rPr>
              <w:sz w:val="24"/>
              <w:szCs w:val="24"/>
            </w:rPr>
            <w:fldChar w:fldCharType="end"/>
          </w:r>
          <w:r>
            <w:rPr>
              <w:sz w:val="24"/>
              <w:szCs w:val="24"/>
            </w:rPr>
            <w:fldChar w:fldCharType="end"/>
          </w:r>
        </w:p>
        <w:p w14:paraId="2106D073">
          <w:pPr>
            <w:pStyle w:val="46"/>
            <w:tabs>
              <w:tab w:val="right" w:leader="dot" w:pos="9639"/>
            </w:tabs>
            <w:rPr>
              <w:sz w:val="24"/>
              <w:szCs w:val="24"/>
            </w:rPr>
          </w:pPr>
          <w:r>
            <w:rPr>
              <w:sz w:val="24"/>
              <w:szCs w:val="24"/>
            </w:rPr>
            <w:fldChar w:fldCharType="begin"/>
          </w:r>
          <w:r>
            <w:rPr>
              <w:sz w:val="24"/>
              <w:szCs w:val="24"/>
            </w:rPr>
            <w:instrText xml:space="preserve"> HYPERLINK \l _Toc20904 </w:instrText>
          </w:r>
          <w:r>
            <w:rPr>
              <w:sz w:val="24"/>
              <w:szCs w:val="24"/>
            </w:rPr>
            <w:fldChar w:fldCharType="separate"/>
          </w:r>
          <w:r>
            <w:rPr>
              <w:rFonts w:hint="eastAsia" w:ascii="方正楷体_GBK" w:hAnsi="方正楷体_GBK" w:eastAsia="方正楷体_GBK" w:cs="方正楷体_GBK"/>
              <w:sz w:val="24"/>
              <w:szCs w:val="24"/>
            </w:rPr>
            <w:t>（一）响应文件组成</w:t>
          </w:r>
          <w:r>
            <w:rPr>
              <w:sz w:val="24"/>
              <w:szCs w:val="24"/>
            </w:rPr>
            <w:tab/>
          </w:r>
          <w:r>
            <w:rPr>
              <w:sz w:val="24"/>
              <w:szCs w:val="24"/>
            </w:rPr>
            <w:fldChar w:fldCharType="begin"/>
          </w:r>
          <w:r>
            <w:rPr>
              <w:sz w:val="24"/>
              <w:szCs w:val="24"/>
            </w:rPr>
            <w:instrText xml:space="preserve"> PAGEREF _Toc20904 \h </w:instrText>
          </w:r>
          <w:r>
            <w:rPr>
              <w:sz w:val="24"/>
              <w:szCs w:val="24"/>
            </w:rPr>
            <w:fldChar w:fldCharType="separate"/>
          </w:r>
          <w:r>
            <w:rPr>
              <w:sz w:val="24"/>
              <w:szCs w:val="24"/>
            </w:rPr>
            <w:t>- 28 -</w:t>
          </w:r>
          <w:r>
            <w:rPr>
              <w:sz w:val="24"/>
              <w:szCs w:val="24"/>
            </w:rPr>
            <w:fldChar w:fldCharType="end"/>
          </w:r>
          <w:r>
            <w:rPr>
              <w:sz w:val="24"/>
              <w:szCs w:val="24"/>
            </w:rPr>
            <w:fldChar w:fldCharType="end"/>
          </w:r>
        </w:p>
        <w:p w14:paraId="493086FF">
          <w:pPr>
            <w:pStyle w:val="46"/>
            <w:tabs>
              <w:tab w:val="right" w:leader="dot" w:pos="9639"/>
            </w:tabs>
            <w:rPr>
              <w:sz w:val="24"/>
              <w:szCs w:val="24"/>
            </w:rPr>
          </w:pPr>
          <w:r>
            <w:rPr>
              <w:sz w:val="24"/>
              <w:szCs w:val="24"/>
            </w:rPr>
            <w:fldChar w:fldCharType="begin"/>
          </w:r>
          <w:r>
            <w:rPr>
              <w:sz w:val="24"/>
              <w:szCs w:val="24"/>
            </w:rPr>
            <w:instrText xml:space="preserve"> HYPERLINK \l _Toc30975 </w:instrText>
          </w:r>
          <w:r>
            <w:rPr>
              <w:sz w:val="24"/>
              <w:szCs w:val="24"/>
            </w:rPr>
            <w:fldChar w:fldCharType="separate"/>
          </w:r>
          <w:r>
            <w:rPr>
              <w:rFonts w:hint="eastAsia" w:ascii="方正楷体_GBK" w:hAnsi="方正楷体_GBK" w:eastAsia="方正楷体_GBK" w:cs="方正楷体_GBK"/>
              <w:sz w:val="24"/>
              <w:szCs w:val="24"/>
            </w:rPr>
            <w:t>（二）投标有效期</w:t>
          </w:r>
          <w:r>
            <w:rPr>
              <w:sz w:val="24"/>
              <w:szCs w:val="24"/>
            </w:rPr>
            <w:tab/>
          </w:r>
          <w:r>
            <w:rPr>
              <w:sz w:val="24"/>
              <w:szCs w:val="24"/>
            </w:rPr>
            <w:fldChar w:fldCharType="begin"/>
          </w:r>
          <w:r>
            <w:rPr>
              <w:sz w:val="24"/>
              <w:szCs w:val="24"/>
            </w:rPr>
            <w:instrText xml:space="preserve"> PAGEREF _Toc30975 \h </w:instrText>
          </w:r>
          <w:r>
            <w:rPr>
              <w:sz w:val="24"/>
              <w:szCs w:val="24"/>
            </w:rPr>
            <w:fldChar w:fldCharType="separate"/>
          </w:r>
          <w:r>
            <w:rPr>
              <w:sz w:val="24"/>
              <w:szCs w:val="24"/>
            </w:rPr>
            <w:t>- 28 -</w:t>
          </w:r>
          <w:r>
            <w:rPr>
              <w:sz w:val="24"/>
              <w:szCs w:val="24"/>
            </w:rPr>
            <w:fldChar w:fldCharType="end"/>
          </w:r>
          <w:r>
            <w:rPr>
              <w:sz w:val="24"/>
              <w:szCs w:val="24"/>
            </w:rPr>
            <w:fldChar w:fldCharType="end"/>
          </w:r>
        </w:p>
        <w:p w14:paraId="1E325E40">
          <w:pPr>
            <w:pStyle w:val="46"/>
            <w:tabs>
              <w:tab w:val="right" w:leader="dot" w:pos="9639"/>
            </w:tabs>
            <w:rPr>
              <w:sz w:val="24"/>
              <w:szCs w:val="24"/>
            </w:rPr>
          </w:pPr>
          <w:r>
            <w:rPr>
              <w:sz w:val="24"/>
              <w:szCs w:val="24"/>
            </w:rPr>
            <w:fldChar w:fldCharType="begin"/>
          </w:r>
          <w:r>
            <w:rPr>
              <w:sz w:val="24"/>
              <w:szCs w:val="24"/>
            </w:rPr>
            <w:instrText xml:space="preserve"> HYPERLINK \l _Toc18211 </w:instrText>
          </w:r>
          <w:r>
            <w:rPr>
              <w:sz w:val="24"/>
              <w:szCs w:val="24"/>
            </w:rPr>
            <w:fldChar w:fldCharType="separate"/>
          </w:r>
          <w:r>
            <w:rPr>
              <w:rFonts w:hint="eastAsia" w:ascii="方正楷体_GBK" w:hAnsi="方正楷体_GBK" w:eastAsia="方正楷体_GBK" w:cs="方正楷体_GBK"/>
              <w:sz w:val="24"/>
              <w:szCs w:val="24"/>
            </w:rPr>
            <w:t>（三）响应文件的份数和签署</w:t>
          </w:r>
          <w:r>
            <w:rPr>
              <w:sz w:val="24"/>
              <w:szCs w:val="24"/>
            </w:rPr>
            <w:tab/>
          </w:r>
          <w:r>
            <w:rPr>
              <w:sz w:val="24"/>
              <w:szCs w:val="24"/>
            </w:rPr>
            <w:fldChar w:fldCharType="begin"/>
          </w:r>
          <w:r>
            <w:rPr>
              <w:sz w:val="24"/>
              <w:szCs w:val="24"/>
            </w:rPr>
            <w:instrText xml:space="preserve"> PAGEREF _Toc18211 \h </w:instrText>
          </w:r>
          <w:r>
            <w:rPr>
              <w:sz w:val="24"/>
              <w:szCs w:val="24"/>
            </w:rPr>
            <w:fldChar w:fldCharType="separate"/>
          </w:r>
          <w:r>
            <w:rPr>
              <w:sz w:val="24"/>
              <w:szCs w:val="24"/>
            </w:rPr>
            <w:t>- 28 -</w:t>
          </w:r>
          <w:r>
            <w:rPr>
              <w:sz w:val="24"/>
              <w:szCs w:val="24"/>
            </w:rPr>
            <w:fldChar w:fldCharType="end"/>
          </w:r>
          <w:r>
            <w:rPr>
              <w:sz w:val="24"/>
              <w:szCs w:val="24"/>
            </w:rPr>
            <w:fldChar w:fldCharType="end"/>
          </w:r>
        </w:p>
        <w:p w14:paraId="5156C102">
          <w:pPr>
            <w:pStyle w:val="46"/>
            <w:tabs>
              <w:tab w:val="right" w:leader="dot" w:pos="9639"/>
            </w:tabs>
            <w:rPr>
              <w:sz w:val="24"/>
              <w:szCs w:val="24"/>
            </w:rPr>
          </w:pPr>
          <w:r>
            <w:rPr>
              <w:sz w:val="24"/>
              <w:szCs w:val="24"/>
            </w:rPr>
            <w:fldChar w:fldCharType="begin"/>
          </w:r>
          <w:r>
            <w:rPr>
              <w:sz w:val="24"/>
              <w:szCs w:val="24"/>
            </w:rPr>
            <w:instrText xml:space="preserve"> HYPERLINK \l _Toc1646 </w:instrText>
          </w:r>
          <w:r>
            <w:rPr>
              <w:sz w:val="24"/>
              <w:szCs w:val="24"/>
            </w:rPr>
            <w:fldChar w:fldCharType="separate"/>
          </w:r>
          <w:r>
            <w:rPr>
              <w:rFonts w:hint="eastAsia" w:ascii="方正楷体_GBK" w:hAnsi="方正楷体_GBK" w:eastAsia="方正楷体_GBK" w:cs="方正楷体_GBK"/>
              <w:sz w:val="24"/>
              <w:szCs w:val="24"/>
            </w:rPr>
            <w:t>（四）投标报价</w:t>
          </w:r>
          <w:r>
            <w:rPr>
              <w:sz w:val="24"/>
              <w:szCs w:val="24"/>
            </w:rPr>
            <w:tab/>
          </w:r>
          <w:r>
            <w:rPr>
              <w:sz w:val="24"/>
              <w:szCs w:val="24"/>
            </w:rPr>
            <w:fldChar w:fldCharType="begin"/>
          </w:r>
          <w:r>
            <w:rPr>
              <w:sz w:val="24"/>
              <w:szCs w:val="24"/>
            </w:rPr>
            <w:instrText xml:space="preserve"> PAGEREF _Toc1646 \h </w:instrText>
          </w:r>
          <w:r>
            <w:rPr>
              <w:sz w:val="24"/>
              <w:szCs w:val="24"/>
            </w:rPr>
            <w:fldChar w:fldCharType="separate"/>
          </w:r>
          <w:r>
            <w:rPr>
              <w:sz w:val="24"/>
              <w:szCs w:val="24"/>
            </w:rPr>
            <w:t>- 28 -</w:t>
          </w:r>
          <w:r>
            <w:rPr>
              <w:sz w:val="24"/>
              <w:szCs w:val="24"/>
            </w:rPr>
            <w:fldChar w:fldCharType="end"/>
          </w:r>
          <w:r>
            <w:rPr>
              <w:sz w:val="24"/>
              <w:szCs w:val="24"/>
            </w:rPr>
            <w:fldChar w:fldCharType="end"/>
          </w:r>
        </w:p>
        <w:p w14:paraId="0B382748">
          <w:pPr>
            <w:pStyle w:val="46"/>
            <w:tabs>
              <w:tab w:val="right" w:leader="dot" w:pos="9639"/>
            </w:tabs>
            <w:rPr>
              <w:sz w:val="24"/>
              <w:szCs w:val="24"/>
            </w:rPr>
          </w:pPr>
          <w:r>
            <w:rPr>
              <w:sz w:val="24"/>
              <w:szCs w:val="24"/>
            </w:rPr>
            <w:fldChar w:fldCharType="begin"/>
          </w:r>
          <w:r>
            <w:rPr>
              <w:sz w:val="24"/>
              <w:szCs w:val="24"/>
            </w:rPr>
            <w:instrText xml:space="preserve"> HYPERLINK \l _Toc10451 </w:instrText>
          </w:r>
          <w:r>
            <w:rPr>
              <w:sz w:val="24"/>
              <w:szCs w:val="24"/>
            </w:rPr>
            <w:fldChar w:fldCharType="separate"/>
          </w:r>
          <w:r>
            <w:rPr>
              <w:rFonts w:hint="eastAsia" w:ascii="方正楷体_GBK" w:hAnsi="方正楷体_GBK" w:eastAsia="方正楷体_GBK" w:cs="方正楷体_GBK"/>
              <w:kern w:val="0"/>
              <w:sz w:val="24"/>
              <w:szCs w:val="24"/>
            </w:rPr>
            <w:t>（五）修正错误</w:t>
          </w:r>
          <w:r>
            <w:rPr>
              <w:sz w:val="24"/>
              <w:szCs w:val="24"/>
            </w:rPr>
            <w:tab/>
          </w:r>
          <w:r>
            <w:rPr>
              <w:sz w:val="24"/>
              <w:szCs w:val="24"/>
            </w:rPr>
            <w:fldChar w:fldCharType="begin"/>
          </w:r>
          <w:r>
            <w:rPr>
              <w:sz w:val="24"/>
              <w:szCs w:val="24"/>
            </w:rPr>
            <w:instrText xml:space="preserve"> PAGEREF _Toc10451 \h </w:instrText>
          </w:r>
          <w:r>
            <w:rPr>
              <w:sz w:val="24"/>
              <w:szCs w:val="24"/>
            </w:rPr>
            <w:fldChar w:fldCharType="separate"/>
          </w:r>
          <w:r>
            <w:rPr>
              <w:sz w:val="24"/>
              <w:szCs w:val="24"/>
            </w:rPr>
            <w:t>- 28 -</w:t>
          </w:r>
          <w:r>
            <w:rPr>
              <w:sz w:val="24"/>
              <w:szCs w:val="24"/>
            </w:rPr>
            <w:fldChar w:fldCharType="end"/>
          </w:r>
          <w:r>
            <w:rPr>
              <w:sz w:val="24"/>
              <w:szCs w:val="24"/>
            </w:rPr>
            <w:fldChar w:fldCharType="end"/>
          </w:r>
        </w:p>
        <w:p w14:paraId="3C2ED8D0">
          <w:pPr>
            <w:pStyle w:val="46"/>
            <w:tabs>
              <w:tab w:val="right" w:leader="dot" w:pos="9639"/>
            </w:tabs>
            <w:rPr>
              <w:sz w:val="24"/>
              <w:szCs w:val="24"/>
            </w:rPr>
          </w:pPr>
          <w:r>
            <w:rPr>
              <w:sz w:val="24"/>
              <w:szCs w:val="24"/>
            </w:rPr>
            <w:fldChar w:fldCharType="begin"/>
          </w:r>
          <w:r>
            <w:rPr>
              <w:sz w:val="24"/>
              <w:szCs w:val="24"/>
            </w:rPr>
            <w:instrText xml:space="preserve"> HYPERLINK \l _Toc18562 </w:instrText>
          </w:r>
          <w:r>
            <w:rPr>
              <w:sz w:val="24"/>
              <w:szCs w:val="24"/>
            </w:rPr>
            <w:fldChar w:fldCharType="separate"/>
          </w:r>
          <w:r>
            <w:rPr>
              <w:rFonts w:hint="eastAsia" w:ascii="方正楷体_GBK" w:hAnsi="方正楷体_GBK" w:eastAsia="方正楷体_GBK" w:cs="方正楷体_GBK"/>
              <w:kern w:val="0"/>
              <w:sz w:val="24"/>
              <w:szCs w:val="24"/>
            </w:rPr>
            <w:t>（六）响应文件的递交</w:t>
          </w:r>
          <w:r>
            <w:rPr>
              <w:sz w:val="24"/>
              <w:szCs w:val="24"/>
            </w:rPr>
            <w:tab/>
          </w:r>
          <w:r>
            <w:rPr>
              <w:sz w:val="24"/>
              <w:szCs w:val="24"/>
            </w:rPr>
            <w:fldChar w:fldCharType="begin"/>
          </w:r>
          <w:r>
            <w:rPr>
              <w:sz w:val="24"/>
              <w:szCs w:val="24"/>
            </w:rPr>
            <w:instrText xml:space="preserve"> PAGEREF _Toc18562 \h </w:instrText>
          </w:r>
          <w:r>
            <w:rPr>
              <w:sz w:val="24"/>
              <w:szCs w:val="24"/>
            </w:rPr>
            <w:fldChar w:fldCharType="separate"/>
          </w:r>
          <w:r>
            <w:rPr>
              <w:sz w:val="24"/>
              <w:szCs w:val="24"/>
            </w:rPr>
            <w:t>- 29 -</w:t>
          </w:r>
          <w:r>
            <w:rPr>
              <w:sz w:val="24"/>
              <w:szCs w:val="24"/>
            </w:rPr>
            <w:fldChar w:fldCharType="end"/>
          </w:r>
          <w:r>
            <w:rPr>
              <w:sz w:val="24"/>
              <w:szCs w:val="24"/>
            </w:rPr>
            <w:fldChar w:fldCharType="end"/>
          </w:r>
        </w:p>
        <w:p w14:paraId="0EE5D4B7">
          <w:pPr>
            <w:pStyle w:val="30"/>
            <w:tabs>
              <w:tab w:val="right" w:leader="dot" w:pos="9639"/>
            </w:tabs>
            <w:rPr>
              <w:sz w:val="24"/>
              <w:szCs w:val="24"/>
            </w:rPr>
          </w:pPr>
          <w:r>
            <w:rPr>
              <w:sz w:val="24"/>
              <w:szCs w:val="24"/>
            </w:rPr>
            <w:fldChar w:fldCharType="begin"/>
          </w:r>
          <w:r>
            <w:rPr>
              <w:sz w:val="24"/>
              <w:szCs w:val="24"/>
            </w:rPr>
            <w:instrText xml:space="preserve"> HYPERLINK \l _Toc7628 </w:instrText>
          </w:r>
          <w:r>
            <w:rPr>
              <w:sz w:val="24"/>
              <w:szCs w:val="24"/>
            </w:rPr>
            <w:fldChar w:fldCharType="separate"/>
          </w:r>
          <w:r>
            <w:rPr>
              <w:rFonts w:hint="eastAsia" w:ascii="仿宋" w:hAnsi="仿宋" w:eastAsia="仿宋" w:cs="仿宋"/>
              <w:kern w:val="2"/>
              <w:sz w:val="24"/>
              <w:szCs w:val="24"/>
              <w:lang w:val="en-US" w:eastAsia="zh-CN" w:bidi="ar-SA"/>
            </w:rPr>
            <w:t>1.响应文件的密封与标记</w:t>
          </w:r>
          <w:r>
            <w:rPr>
              <w:sz w:val="24"/>
              <w:szCs w:val="24"/>
            </w:rPr>
            <w:tab/>
          </w:r>
          <w:r>
            <w:rPr>
              <w:sz w:val="24"/>
              <w:szCs w:val="24"/>
            </w:rPr>
            <w:fldChar w:fldCharType="begin"/>
          </w:r>
          <w:r>
            <w:rPr>
              <w:sz w:val="24"/>
              <w:szCs w:val="24"/>
            </w:rPr>
            <w:instrText xml:space="preserve"> PAGEREF _Toc7628 \h </w:instrText>
          </w:r>
          <w:r>
            <w:rPr>
              <w:sz w:val="24"/>
              <w:szCs w:val="24"/>
            </w:rPr>
            <w:fldChar w:fldCharType="separate"/>
          </w:r>
          <w:r>
            <w:rPr>
              <w:sz w:val="24"/>
              <w:szCs w:val="24"/>
            </w:rPr>
            <w:t>- 29 -</w:t>
          </w:r>
          <w:r>
            <w:rPr>
              <w:sz w:val="24"/>
              <w:szCs w:val="24"/>
            </w:rPr>
            <w:fldChar w:fldCharType="end"/>
          </w:r>
          <w:r>
            <w:rPr>
              <w:sz w:val="24"/>
              <w:szCs w:val="24"/>
            </w:rPr>
            <w:fldChar w:fldCharType="end"/>
          </w:r>
        </w:p>
        <w:p w14:paraId="33024733">
          <w:pPr>
            <w:pStyle w:val="30"/>
            <w:tabs>
              <w:tab w:val="right" w:leader="dot" w:pos="9639"/>
            </w:tabs>
            <w:rPr>
              <w:sz w:val="24"/>
              <w:szCs w:val="24"/>
            </w:rPr>
          </w:pPr>
          <w:r>
            <w:rPr>
              <w:sz w:val="24"/>
              <w:szCs w:val="24"/>
            </w:rPr>
            <w:fldChar w:fldCharType="begin"/>
          </w:r>
          <w:r>
            <w:rPr>
              <w:sz w:val="24"/>
              <w:szCs w:val="24"/>
            </w:rPr>
            <w:instrText xml:space="preserve"> HYPERLINK \l _Toc26136 </w:instrText>
          </w:r>
          <w:r>
            <w:rPr>
              <w:sz w:val="24"/>
              <w:szCs w:val="24"/>
            </w:rPr>
            <w:fldChar w:fldCharType="separate"/>
          </w:r>
          <w:r>
            <w:rPr>
              <w:rFonts w:hint="eastAsia" w:ascii="仿宋" w:hAnsi="仿宋" w:eastAsia="仿宋" w:cs="仿宋"/>
              <w:kern w:val="2"/>
              <w:sz w:val="24"/>
              <w:szCs w:val="24"/>
              <w:lang w:val="en-US" w:eastAsia="zh-CN" w:bidi="ar-SA"/>
            </w:rPr>
            <w:t>2.如果未按上述规定进行密封和标记，采购单位对响应文件误投、丢失或提前拆封不负责任。</w:t>
          </w:r>
          <w:r>
            <w:rPr>
              <w:sz w:val="24"/>
              <w:szCs w:val="24"/>
            </w:rPr>
            <w:tab/>
          </w:r>
          <w:r>
            <w:rPr>
              <w:sz w:val="24"/>
              <w:szCs w:val="24"/>
            </w:rPr>
            <w:fldChar w:fldCharType="begin"/>
          </w:r>
          <w:r>
            <w:rPr>
              <w:sz w:val="24"/>
              <w:szCs w:val="24"/>
            </w:rPr>
            <w:instrText xml:space="preserve"> PAGEREF _Toc26136 \h </w:instrText>
          </w:r>
          <w:r>
            <w:rPr>
              <w:sz w:val="24"/>
              <w:szCs w:val="24"/>
            </w:rPr>
            <w:fldChar w:fldCharType="separate"/>
          </w:r>
          <w:r>
            <w:rPr>
              <w:sz w:val="24"/>
              <w:szCs w:val="24"/>
            </w:rPr>
            <w:t>- 29 -</w:t>
          </w:r>
          <w:r>
            <w:rPr>
              <w:sz w:val="24"/>
              <w:szCs w:val="24"/>
            </w:rPr>
            <w:fldChar w:fldCharType="end"/>
          </w:r>
          <w:r>
            <w:rPr>
              <w:sz w:val="24"/>
              <w:szCs w:val="24"/>
            </w:rPr>
            <w:fldChar w:fldCharType="end"/>
          </w:r>
        </w:p>
        <w:p w14:paraId="60AF38BF">
          <w:pPr>
            <w:pStyle w:val="38"/>
            <w:tabs>
              <w:tab w:val="right" w:leader="dot" w:pos="9639"/>
            </w:tabs>
            <w:rPr>
              <w:sz w:val="24"/>
              <w:szCs w:val="24"/>
            </w:rPr>
          </w:pPr>
          <w:r>
            <w:rPr>
              <w:sz w:val="24"/>
              <w:szCs w:val="24"/>
            </w:rPr>
            <w:fldChar w:fldCharType="begin"/>
          </w:r>
          <w:r>
            <w:rPr>
              <w:sz w:val="24"/>
              <w:szCs w:val="24"/>
            </w:rPr>
            <w:instrText xml:space="preserve"> HYPERLINK \l _Toc17705 </w:instrText>
          </w:r>
          <w:r>
            <w:rPr>
              <w:sz w:val="24"/>
              <w:szCs w:val="24"/>
            </w:rPr>
            <w:fldChar w:fldCharType="separate"/>
          </w:r>
          <w:r>
            <w:rPr>
              <w:rFonts w:hint="eastAsia" w:ascii="方正黑体_GBK" w:hAnsi="方正黑体_GBK" w:eastAsia="方正黑体_GBK" w:cs="方正黑体_GBK"/>
              <w:sz w:val="24"/>
              <w:szCs w:val="24"/>
            </w:rPr>
            <w:t>四、评标</w:t>
          </w:r>
          <w:r>
            <w:rPr>
              <w:sz w:val="24"/>
              <w:szCs w:val="24"/>
            </w:rPr>
            <w:tab/>
          </w:r>
          <w:r>
            <w:rPr>
              <w:sz w:val="24"/>
              <w:szCs w:val="24"/>
            </w:rPr>
            <w:fldChar w:fldCharType="begin"/>
          </w:r>
          <w:r>
            <w:rPr>
              <w:sz w:val="24"/>
              <w:szCs w:val="24"/>
            </w:rPr>
            <w:instrText xml:space="preserve"> PAGEREF _Toc17705 \h </w:instrText>
          </w:r>
          <w:r>
            <w:rPr>
              <w:sz w:val="24"/>
              <w:szCs w:val="24"/>
            </w:rPr>
            <w:fldChar w:fldCharType="separate"/>
          </w:r>
          <w:r>
            <w:rPr>
              <w:sz w:val="24"/>
              <w:szCs w:val="24"/>
            </w:rPr>
            <w:t>- 29 -</w:t>
          </w:r>
          <w:r>
            <w:rPr>
              <w:sz w:val="24"/>
              <w:szCs w:val="24"/>
            </w:rPr>
            <w:fldChar w:fldCharType="end"/>
          </w:r>
          <w:r>
            <w:rPr>
              <w:sz w:val="24"/>
              <w:szCs w:val="24"/>
            </w:rPr>
            <w:fldChar w:fldCharType="end"/>
          </w:r>
        </w:p>
        <w:p w14:paraId="6987736B">
          <w:pPr>
            <w:pStyle w:val="38"/>
            <w:tabs>
              <w:tab w:val="right" w:leader="dot" w:pos="9639"/>
            </w:tabs>
            <w:rPr>
              <w:sz w:val="24"/>
              <w:szCs w:val="24"/>
            </w:rPr>
          </w:pPr>
          <w:r>
            <w:rPr>
              <w:sz w:val="24"/>
              <w:szCs w:val="24"/>
            </w:rPr>
            <w:fldChar w:fldCharType="begin"/>
          </w:r>
          <w:r>
            <w:rPr>
              <w:sz w:val="24"/>
              <w:szCs w:val="24"/>
            </w:rPr>
            <w:instrText xml:space="preserve"> HYPERLINK \l _Toc3787 </w:instrText>
          </w:r>
          <w:r>
            <w:rPr>
              <w:sz w:val="24"/>
              <w:szCs w:val="24"/>
            </w:rPr>
            <w:fldChar w:fldCharType="separate"/>
          </w:r>
          <w:r>
            <w:rPr>
              <w:rFonts w:hint="eastAsia" w:ascii="方正黑体_GBK" w:hAnsi="方正黑体_GBK" w:eastAsia="方正黑体_GBK" w:cs="方正黑体_GBK"/>
              <w:sz w:val="24"/>
              <w:szCs w:val="24"/>
            </w:rPr>
            <w:t>五、定标</w:t>
          </w:r>
          <w:r>
            <w:rPr>
              <w:sz w:val="24"/>
              <w:szCs w:val="24"/>
            </w:rPr>
            <w:tab/>
          </w:r>
          <w:r>
            <w:rPr>
              <w:sz w:val="24"/>
              <w:szCs w:val="24"/>
            </w:rPr>
            <w:fldChar w:fldCharType="begin"/>
          </w:r>
          <w:r>
            <w:rPr>
              <w:sz w:val="24"/>
              <w:szCs w:val="24"/>
            </w:rPr>
            <w:instrText xml:space="preserve"> PAGEREF _Toc3787 \h </w:instrText>
          </w:r>
          <w:r>
            <w:rPr>
              <w:sz w:val="24"/>
              <w:szCs w:val="24"/>
            </w:rPr>
            <w:fldChar w:fldCharType="separate"/>
          </w:r>
          <w:r>
            <w:rPr>
              <w:sz w:val="24"/>
              <w:szCs w:val="24"/>
            </w:rPr>
            <w:t>- 29 -</w:t>
          </w:r>
          <w:r>
            <w:rPr>
              <w:sz w:val="24"/>
              <w:szCs w:val="24"/>
            </w:rPr>
            <w:fldChar w:fldCharType="end"/>
          </w:r>
          <w:r>
            <w:rPr>
              <w:sz w:val="24"/>
              <w:szCs w:val="24"/>
            </w:rPr>
            <w:fldChar w:fldCharType="end"/>
          </w:r>
        </w:p>
        <w:p w14:paraId="3CE8EE44">
          <w:pPr>
            <w:pStyle w:val="38"/>
            <w:tabs>
              <w:tab w:val="right" w:leader="dot" w:pos="9639"/>
            </w:tabs>
            <w:rPr>
              <w:sz w:val="24"/>
              <w:szCs w:val="24"/>
            </w:rPr>
          </w:pPr>
          <w:r>
            <w:rPr>
              <w:sz w:val="24"/>
              <w:szCs w:val="24"/>
            </w:rPr>
            <w:fldChar w:fldCharType="begin"/>
          </w:r>
          <w:r>
            <w:rPr>
              <w:sz w:val="24"/>
              <w:szCs w:val="24"/>
            </w:rPr>
            <w:instrText xml:space="preserve"> HYPERLINK \l _Toc4440 </w:instrText>
          </w:r>
          <w:r>
            <w:rPr>
              <w:sz w:val="24"/>
              <w:szCs w:val="24"/>
            </w:rPr>
            <w:fldChar w:fldCharType="separate"/>
          </w:r>
          <w:r>
            <w:rPr>
              <w:rFonts w:hint="eastAsia" w:ascii="方正黑体_GBK" w:hAnsi="方正黑体_GBK" w:eastAsia="方正黑体_GBK" w:cs="方正黑体_GBK"/>
              <w:sz w:val="24"/>
              <w:szCs w:val="24"/>
            </w:rPr>
            <w:t>六、询问、质疑和投诉</w:t>
          </w:r>
          <w:r>
            <w:rPr>
              <w:sz w:val="24"/>
              <w:szCs w:val="24"/>
            </w:rPr>
            <w:tab/>
          </w:r>
          <w:r>
            <w:rPr>
              <w:sz w:val="24"/>
              <w:szCs w:val="24"/>
            </w:rPr>
            <w:fldChar w:fldCharType="begin"/>
          </w:r>
          <w:r>
            <w:rPr>
              <w:sz w:val="24"/>
              <w:szCs w:val="24"/>
            </w:rPr>
            <w:instrText xml:space="preserve"> PAGEREF _Toc4440 \h </w:instrText>
          </w:r>
          <w:r>
            <w:rPr>
              <w:sz w:val="24"/>
              <w:szCs w:val="24"/>
            </w:rPr>
            <w:fldChar w:fldCharType="separate"/>
          </w:r>
          <w:r>
            <w:rPr>
              <w:sz w:val="24"/>
              <w:szCs w:val="24"/>
            </w:rPr>
            <w:t>- 29 -</w:t>
          </w:r>
          <w:r>
            <w:rPr>
              <w:sz w:val="24"/>
              <w:szCs w:val="24"/>
            </w:rPr>
            <w:fldChar w:fldCharType="end"/>
          </w:r>
          <w:r>
            <w:rPr>
              <w:sz w:val="24"/>
              <w:szCs w:val="24"/>
            </w:rPr>
            <w:fldChar w:fldCharType="end"/>
          </w:r>
        </w:p>
        <w:p w14:paraId="24571CCC">
          <w:pPr>
            <w:pStyle w:val="46"/>
            <w:tabs>
              <w:tab w:val="right" w:leader="dot" w:pos="9639"/>
            </w:tabs>
            <w:rPr>
              <w:sz w:val="24"/>
              <w:szCs w:val="24"/>
            </w:rPr>
          </w:pPr>
          <w:r>
            <w:rPr>
              <w:sz w:val="24"/>
              <w:szCs w:val="24"/>
            </w:rPr>
            <w:fldChar w:fldCharType="begin"/>
          </w:r>
          <w:r>
            <w:rPr>
              <w:sz w:val="24"/>
              <w:szCs w:val="24"/>
            </w:rPr>
            <w:instrText xml:space="preserve"> HYPERLINK \l _Toc28549 </w:instrText>
          </w:r>
          <w:r>
            <w:rPr>
              <w:sz w:val="24"/>
              <w:szCs w:val="24"/>
            </w:rPr>
            <w:fldChar w:fldCharType="separate"/>
          </w:r>
          <w:r>
            <w:rPr>
              <w:rFonts w:hint="eastAsia" w:ascii="方正楷体_GBK" w:hAnsi="方正楷体_GBK" w:eastAsia="方正楷体_GBK" w:cs="方正楷体_GBK"/>
              <w:sz w:val="24"/>
              <w:szCs w:val="24"/>
            </w:rPr>
            <w:t>（一）询问</w:t>
          </w:r>
          <w:r>
            <w:rPr>
              <w:sz w:val="24"/>
              <w:szCs w:val="24"/>
            </w:rPr>
            <w:tab/>
          </w:r>
          <w:r>
            <w:rPr>
              <w:sz w:val="24"/>
              <w:szCs w:val="24"/>
            </w:rPr>
            <w:fldChar w:fldCharType="begin"/>
          </w:r>
          <w:r>
            <w:rPr>
              <w:sz w:val="24"/>
              <w:szCs w:val="24"/>
            </w:rPr>
            <w:instrText xml:space="preserve"> PAGEREF _Toc28549 \h </w:instrText>
          </w:r>
          <w:r>
            <w:rPr>
              <w:sz w:val="24"/>
              <w:szCs w:val="24"/>
            </w:rPr>
            <w:fldChar w:fldCharType="separate"/>
          </w:r>
          <w:r>
            <w:rPr>
              <w:sz w:val="24"/>
              <w:szCs w:val="24"/>
            </w:rPr>
            <w:t>- 29 -</w:t>
          </w:r>
          <w:r>
            <w:rPr>
              <w:sz w:val="24"/>
              <w:szCs w:val="24"/>
            </w:rPr>
            <w:fldChar w:fldCharType="end"/>
          </w:r>
          <w:r>
            <w:rPr>
              <w:sz w:val="24"/>
              <w:szCs w:val="24"/>
            </w:rPr>
            <w:fldChar w:fldCharType="end"/>
          </w:r>
        </w:p>
        <w:p w14:paraId="47AAC34E">
          <w:pPr>
            <w:pStyle w:val="46"/>
            <w:tabs>
              <w:tab w:val="right" w:leader="dot" w:pos="9639"/>
            </w:tabs>
            <w:rPr>
              <w:sz w:val="24"/>
              <w:szCs w:val="24"/>
            </w:rPr>
          </w:pPr>
          <w:r>
            <w:rPr>
              <w:sz w:val="24"/>
              <w:szCs w:val="24"/>
            </w:rPr>
            <w:fldChar w:fldCharType="begin"/>
          </w:r>
          <w:r>
            <w:rPr>
              <w:sz w:val="24"/>
              <w:szCs w:val="24"/>
            </w:rPr>
            <w:instrText xml:space="preserve"> HYPERLINK \l _Toc22253 </w:instrText>
          </w:r>
          <w:r>
            <w:rPr>
              <w:sz w:val="24"/>
              <w:szCs w:val="24"/>
            </w:rPr>
            <w:fldChar w:fldCharType="separate"/>
          </w:r>
          <w:r>
            <w:rPr>
              <w:rFonts w:hint="eastAsia" w:ascii="方正楷体_GBK" w:hAnsi="方正楷体_GBK" w:eastAsia="方正楷体_GBK" w:cs="方正楷体_GBK"/>
              <w:sz w:val="24"/>
              <w:szCs w:val="24"/>
            </w:rPr>
            <w:t>（二）质疑</w:t>
          </w:r>
          <w:r>
            <w:rPr>
              <w:sz w:val="24"/>
              <w:szCs w:val="24"/>
            </w:rPr>
            <w:tab/>
          </w:r>
          <w:r>
            <w:rPr>
              <w:sz w:val="24"/>
              <w:szCs w:val="24"/>
            </w:rPr>
            <w:fldChar w:fldCharType="begin"/>
          </w:r>
          <w:r>
            <w:rPr>
              <w:sz w:val="24"/>
              <w:szCs w:val="24"/>
            </w:rPr>
            <w:instrText xml:space="preserve"> PAGEREF _Toc22253 \h </w:instrText>
          </w:r>
          <w:r>
            <w:rPr>
              <w:sz w:val="24"/>
              <w:szCs w:val="24"/>
            </w:rPr>
            <w:fldChar w:fldCharType="separate"/>
          </w:r>
          <w:r>
            <w:rPr>
              <w:sz w:val="24"/>
              <w:szCs w:val="24"/>
            </w:rPr>
            <w:t>- 29 -</w:t>
          </w:r>
          <w:r>
            <w:rPr>
              <w:sz w:val="24"/>
              <w:szCs w:val="24"/>
            </w:rPr>
            <w:fldChar w:fldCharType="end"/>
          </w:r>
          <w:r>
            <w:rPr>
              <w:sz w:val="24"/>
              <w:szCs w:val="24"/>
            </w:rPr>
            <w:fldChar w:fldCharType="end"/>
          </w:r>
        </w:p>
        <w:p w14:paraId="79C07B00">
          <w:pPr>
            <w:pStyle w:val="46"/>
            <w:tabs>
              <w:tab w:val="right" w:leader="dot" w:pos="9639"/>
            </w:tabs>
            <w:rPr>
              <w:sz w:val="24"/>
              <w:szCs w:val="24"/>
            </w:rPr>
          </w:pPr>
          <w:r>
            <w:rPr>
              <w:sz w:val="24"/>
              <w:szCs w:val="24"/>
            </w:rPr>
            <w:fldChar w:fldCharType="begin"/>
          </w:r>
          <w:r>
            <w:rPr>
              <w:sz w:val="24"/>
              <w:szCs w:val="24"/>
            </w:rPr>
            <w:instrText xml:space="preserve"> HYPERLINK \l _Toc16539 </w:instrText>
          </w:r>
          <w:r>
            <w:rPr>
              <w:sz w:val="24"/>
              <w:szCs w:val="24"/>
            </w:rPr>
            <w:fldChar w:fldCharType="separate"/>
          </w:r>
          <w:r>
            <w:rPr>
              <w:rFonts w:hint="eastAsia" w:ascii="方正楷体_GBK" w:hAnsi="方正楷体_GBK" w:eastAsia="方正楷体_GBK" w:cs="方正楷体_GBK"/>
              <w:sz w:val="24"/>
              <w:szCs w:val="24"/>
            </w:rPr>
            <w:t>（三）投诉</w:t>
          </w:r>
          <w:r>
            <w:rPr>
              <w:sz w:val="24"/>
              <w:szCs w:val="24"/>
            </w:rPr>
            <w:tab/>
          </w:r>
          <w:r>
            <w:rPr>
              <w:sz w:val="24"/>
              <w:szCs w:val="24"/>
            </w:rPr>
            <w:fldChar w:fldCharType="begin"/>
          </w:r>
          <w:r>
            <w:rPr>
              <w:sz w:val="24"/>
              <w:szCs w:val="24"/>
            </w:rPr>
            <w:instrText xml:space="preserve"> PAGEREF _Toc16539 \h </w:instrText>
          </w:r>
          <w:r>
            <w:rPr>
              <w:sz w:val="24"/>
              <w:szCs w:val="24"/>
            </w:rPr>
            <w:fldChar w:fldCharType="separate"/>
          </w:r>
          <w:r>
            <w:rPr>
              <w:sz w:val="24"/>
              <w:szCs w:val="24"/>
            </w:rPr>
            <w:t>- 30 -</w:t>
          </w:r>
          <w:r>
            <w:rPr>
              <w:sz w:val="24"/>
              <w:szCs w:val="24"/>
            </w:rPr>
            <w:fldChar w:fldCharType="end"/>
          </w:r>
          <w:r>
            <w:rPr>
              <w:sz w:val="24"/>
              <w:szCs w:val="24"/>
            </w:rPr>
            <w:fldChar w:fldCharType="end"/>
          </w:r>
        </w:p>
        <w:p w14:paraId="00A2BF1D">
          <w:pPr>
            <w:pStyle w:val="38"/>
            <w:tabs>
              <w:tab w:val="right" w:leader="dot" w:pos="9639"/>
            </w:tabs>
            <w:rPr>
              <w:sz w:val="24"/>
              <w:szCs w:val="24"/>
            </w:rPr>
          </w:pPr>
          <w:r>
            <w:rPr>
              <w:sz w:val="24"/>
              <w:szCs w:val="24"/>
            </w:rPr>
            <w:fldChar w:fldCharType="begin"/>
          </w:r>
          <w:r>
            <w:rPr>
              <w:sz w:val="24"/>
              <w:szCs w:val="24"/>
            </w:rPr>
            <w:instrText xml:space="preserve"> HYPERLINK \l _Toc29389 </w:instrText>
          </w:r>
          <w:r>
            <w:rPr>
              <w:sz w:val="24"/>
              <w:szCs w:val="24"/>
            </w:rPr>
            <w:fldChar w:fldCharType="separate"/>
          </w:r>
          <w:r>
            <w:rPr>
              <w:rFonts w:hint="eastAsia" w:ascii="方正黑体_GBK" w:hAnsi="方正黑体_GBK" w:eastAsia="方正黑体_GBK" w:cs="方正黑体_GBK"/>
              <w:sz w:val="24"/>
              <w:szCs w:val="24"/>
            </w:rPr>
            <w:t>七、签订合同</w:t>
          </w:r>
          <w:r>
            <w:rPr>
              <w:sz w:val="24"/>
              <w:szCs w:val="24"/>
            </w:rPr>
            <w:tab/>
          </w:r>
          <w:r>
            <w:rPr>
              <w:sz w:val="24"/>
              <w:szCs w:val="24"/>
            </w:rPr>
            <w:fldChar w:fldCharType="begin"/>
          </w:r>
          <w:r>
            <w:rPr>
              <w:sz w:val="24"/>
              <w:szCs w:val="24"/>
            </w:rPr>
            <w:instrText xml:space="preserve"> PAGEREF _Toc29389 \h </w:instrText>
          </w:r>
          <w:r>
            <w:rPr>
              <w:sz w:val="24"/>
              <w:szCs w:val="24"/>
            </w:rPr>
            <w:fldChar w:fldCharType="separate"/>
          </w:r>
          <w:r>
            <w:rPr>
              <w:sz w:val="24"/>
              <w:szCs w:val="24"/>
            </w:rPr>
            <w:t>- 30 -</w:t>
          </w:r>
          <w:r>
            <w:rPr>
              <w:sz w:val="24"/>
              <w:szCs w:val="24"/>
            </w:rPr>
            <w:fldChar w:fldCharType="end"/>
          </w:r>
          <w:r>
            <w:rPr>
              <w:sz w:val="24"/>
              <w:szCs w:val="24"/>
            </w:rPr>
            <w:fldChar w:fldCharType="end"/>
          </w:r>
        </w:p>
        <w:p w14:paraId="144283E1">
          <w:pPr>
            <w:pStyle w:val="38"/>
            <w:tabs>
              <w:tab w:val="right" w:leader="dot" w:pos="9639"/>
            </w:tabs>
            <w:rPr>
              <w:sz w:val="24"/>
              <w:szCs w:val="24"/>
            </w:rPr>
          </w:pPr>
          <w:r>
            <w:rPr>
              <w:sz w:val="24"/>
              <w:szCs w:val="24"/>
            </w:rPr>
            <w:fldChar w:fldCharType="begin"/>
          </w:r>
          <w:r>
            <w:rPr>
              <w:sz w:val="24"/>
              <w:szCs w:val="24"/>
            </w:rPr>
            <w:instrText xml:space="preserve"> HYPERLINK \l _Toc25013 </w:instrText>
          </w:r>
          <w:r>
            <w:rPr>
              <w:sz w:val="24"/>
              <w:szCs w:val="24"/>
            </w:rPr>
            <w:fldChar w:fldCharType="separate"/>
          </w:r>
          <w:r>
            <w:rPr>
              <w:rFonts w:hint="eastAsia" w:ascii="方正小标宋_GBK" w:hAnsi="方正小标宋_GBK" w:eastAsia="方正小标宋_GBK" w:cs="方正小标宋_GBK"/>
              <w:sz w:val="24"/>
              <w:szCs w:val="24"/>
            </w:rPr>
            <w:t>第六篇  合同主要条款和格式合同（样本）</w:t>
          </w:r>
          <w:r>
            <w:rPr>
              <w:sz w:val="24"/>
              <w:szCs w:val="24"/>
            </w:rPr>
            <w:tab/>
          </w:r>
          <w:r>
            <w:rPr>
              <w:sz w:val="24"/>
              <w:szCs w:val="24"/>
            </w:rPr>
            <w:fldChar w:fldCharType="begin"/>
          </w:r>
          <w:r>
            <w:rPr>
              <w:sz w:val="24"/>
              <w:szCs w:val="24"/>
            </w:rPr>
            <w:instrText xml:space="preserve"> PAGEREF _Toc25013 \h </w:instrText>
          </w:r>
          <w:r>
            <w:rPr>
              <w:sz w:val="24"/>
              <w:szCs w:val="24"/>
            </w:rPr>
            <w:fldChar w:fldCharType="separate"/>
          </w:r>
          <w:r>
            <w:rPr>
              <w:sz w:val="24"/>
              <w:szCs w:val="24"/>
            </w:rPr>
            <w:t>- 31 -</w:t>
          </w:r>
          <w:r>
            <w:rPr>
              <w:sz w:val="24"/>
              <w:szCs w:val="24"/>
            </w:rPr>
            <w:fldChar w:fldCharType="end"/>
          </w:r>
          <w:r>
            <w:rPr>
              <w:sz w:val="24"/>
              <w:szCs w:val="24"/>
            </w:rPr>
            <w:fldChar w:fldCharType="end"/>
          </w:r>
        </w:p>
        <w:p w14:paraId="6B029168">
          <w:pPr>
            <w:pStyle w:val="38"/>
            <w:tabs>
              <w:tab w:val="right" w:leader="dot" w:pos="9639"/>
            </w:tabs>
            <w:rPr>
              <w:sz w:val="24"/>
              <w:szCs w:val="24"/>
            </w:rPr>
          </w:pPr>
          <w:r>
            <w:rPr>
              <w:sz w:val="24"/>
              <w:szCs w:val="24"/>
            </w:rPr>
            <w:fldChar w:fldCharType="begin"/>
          </w:r>
          <w:r>
            <w:rPr>
              <w:sz w:val="24"/>
              <w:szCs w:val="24"/>
            </w:rPr>
            <w:instrText xml:space="preserve"> HYPERLINK \l _Toc19184 </w:instrText>
          </w:r>
          <w:r>
            <w:rPr>
              <w:sz w:val="24"/>
              <w:szCs w:val="24"/>
            </w:rPr>
            <w:fldChar w:fldCharType="separate"/>
          </w:r>
          <w:r>
            <w:rPr>
              <w:rFonts w:hint="eastAsia" w:ascii="方正仿宋_GBK" w:hAnsi="方正仿宋_GBK" w:eastAsia="方正仿宋_GBK" w:cs="方正仿宋_GBK"/>
              <w:bCs/>
              <w:sz w:val="24"/>
              <w:szCs w:val="24"/>
              <w:highlight w:val="none"/>
            </w:rPr>
            <w:t>重庆市黔江中心医院消防维保服务</w:t>
          </w:r>
          <w:r>
            <w:rPr>
              <w:rFonts w:hint="eastAsia" w:ascii="方正仿宋_GBK" w:hAnsi="方正仿宋_GBK" w:eastAsia="方正仿宋_GBK" w:cs="方正仿宋_GBK"/>
              <w:bCs/>
              <w:sz w:val="24"/>
              <w:szCs w:val="24"/>
              <w:highlight w:val="none"/>
              <w:lang w:val="en-US" w:eastAsia="zh-CN"/>
            </w:rPr>
            <w:t>合同（初稿）</w:t>
          </w:r>
          <w:r>
            <w:rPr>
              <w:sz w:val="24"/>
              <w:szCs w:val="24"/>
            </w:rPr>
            <w:tab/>
          </w:r>
          <w:r>
            <w:rPr>
              <w:sz w:val="24"/>
              <w:szCs w:val="24"/>
            </w:rPr>
            <w:fldChar w:fldCharType="begin"/>
          </w:r>
          <w:r>
            <w:rPr>
              <w:sz w:val="24"/>
              <w:szCs w:val="24"/>
            </w:rPr>
            <w:instrText xml:space="preserve"> PAGEREF _Toc19184 \h </w:instrText>
          </w:r>
          <w:r>
            <w:rPr>
              <w:sz w:val="24"/>
              <w:szCs w:val="24"/>
            </w:rPr>
            <w:fldChar w:fldCharType="separate"/>
          </w:r>
          <w:r>
            <w:rPr>
              <w:sz w:val="24"/>
              <w:szCs w:val="24"/>
            </w:rPr>
            <w:t>- 31 -</w:t>
          </w:r>
          <w:r>
            <w:rPr>
              <w:sz w:val="24"/>
              <w:szCs w:val="24"/>
            </w:rPr>
            <w:fldChar w:fldCharType="end"/>
          </w:r>
          <w:r>
            <w:rPr>
              <w:sz w:val="24"/>
              <w:szCs w:val="24"/>
            </w:rPr>
            <w:fldChar w:fldCharType="end"/>
          </w:r>
        </w:p>
        <w:p w14:paraId="6D5B7700">
          <w:pPr>
            <w:pStyle w:val="38"/>
            <w:tabs>
              <w:tab w:val="right" w:leader="dot" w:pos="9639"/>
            </w:tabs>
            <w:rPr>
              <w:sz w:val="24"/>
              <w:szCs w:val="24"/>
            </w:rPr>
          </w:pPr>
          <w:r>
            <w:rPr>
              <w:sz w:val="24"/>
              <w:szCs w:val="24"/>
            </w:rPr>
            <w:fldChar w:fldCharType="begin"/>
          </w:r>
          <w:r>
            <w:rPr>
              <w:sz w:val="24"/>
              <w:szCs w:val="24"/>
            </w:rPr>
            <w:instrText xml:space="preserve"> HYPERLINK \l _Toc23061 </w:instrText>
          </w:r>
          <w:r>
            <w:rPr>
              <w:sz w:val="24"/>
              <w:szCs w:val="24"/>
            </w:rPr>
            <w:fldChar w:fldCharType="separate"/>
          </w:r>
          <w:r>
            <w:rPr>
              <w:rFonts w:hint="eastAsia" w:ascii="方正仿宋_GBK" w:hAnsi="方正仿宋_GBK" w:eastAsia="方正仿宋_GBK" w:cs="方正仿宋_GBK"/>
              <w:sz w:val="24"/>
              <w:szCs w:val="24"/>
              <w:highlight w:val="none"/>
            </w:rPr>
            <w:t>一、项目基本信息：</w:t>
          </w:r>
          <w:r>
            <w:rPr>
              <w:sz w:val="24"/>
              <w:szCs w:val="24"/>
            </w:rPr>
            <w:tab/>
          </w:r>
          <w:r>
            <w:rPr>
              <w:sz w:val="24"/>
              <w:szCs w:val="24"/>
            </w:rPr>
            <w:fldChar w:fldCharType="begin"/>
          </w:r>
          <w:r>
            <w:rPr>
              <w:sz w:val="24"/>
              <w:szCs w:val="24"/>
            </w:rPr>
            <w:instrText xml:space="preserve"> PAGEREF _Toc23061 \h </w:instrText>
          </w:r>
          <w:r>
            <w:rPr>
              <w:sz w:val="24"/>
              <w:szCs w:val="24"/>
            </w:rPr>
            <w:fldChar w:fldCharType="separate"/>
          </w:r>
          <w:r>
            <w:rPr>
              <w:sz w:val="24"/>
              <w:szCs w:val="24"/>
            </w:rPr>
            <w:t>- 31 -</w:t>
          </w:r>
          <w:r>
            <w:rPr>
              <w:sz w:val="24"/>
              <w:szCs w:val="24"/>
            </w:rPr>
            <w:fldChar w:fldCharType="end"/>
          </w:r>
          <w:r>
            <w:rPr>
              <w:sz w:val="24"/>
              <w:szCs w:val="24"/>
            </w:rPr>
            <w:fldChar w:fldCharType="end"/>
          </w:r>
        </w:p>
        <w:p w14:paraId="320B67EE">
          <w:pPr>
            <w:pStyle w:val="38"/>
            <w:tabs>
              <w:tab w:val="right" w:leader="dot" w:pos="9639"/>
            </w:tabs>
            <w:rPr>
              <w:sz w:val="24"/>
              <w:szCs w:val="24"/>
            </w:rPr>
          </w:pPr>
          <w:r>
            <w:rPr>
              <w:sz w:val="24"/>
              <w:szCs w:val="24"/>
            </w:rPr>
            <w:fldChar w:fldCharType="begin"/>
          </w:r>
          <w:r>
            <w:rPr>
              <w:sz w:val="24"/>
              <w:szCs w:val="24"/>
            </w:rPr>
            <w:instrText xml:space="preserve"> HYPERLINK \l _Toc17941 </w:instrText>
          </w:r>
          <w:r>
            <w:rPr>
              <w:sz w:val="24"/>
              <w:szCs w:val="24"/>
            </w:rPr>
            <w:fldChar w:fldCharType="separate"/>
          </w:r>
          <w:r>
            <w:rPr>
              <w:rFonts w:hint="eastAsia" w:ascii="方正仿宋_GBK" w:hAnsi="方正仿宋_GBK" w:eastAsia="方正仿宋_GBK" w:cs="方正仿宋_GBK"/>
              <w:sz w:val="24"/>
              <w:szCs w:val="24"/>
              <w:highlight w:val="none"/>
            </w:rPr>
            <w:t>二、维护保养内容：</w:t>
          </w:r>
          <w:r>
            <w:rPr>
              <w:rFonts w:hint="eastAsia" w:ascii="方正仿宋_GBK" w:hAnsi="方正仿宋_GBK" w:eastAsia="方正仿宋_GBK" w:cs="方正仿宋_GBK"/>
              <w:sz w:val="24"/>
              <w:szCs w:val="24"/>
              <w:highlight w:val="none"/>
              <w:lang w:eastAsia="zh-CN"/>
            </w:rPr>
            <w:t>供应商</w:t>
          </w:r>
          <w:r>
            <w:rPr>
              <w:rFonts w:hint="eastAsia" w:ascii="方正仿宋_GBK" w:hAnsi="方正仿宋_GBK" w:eastAsia="方正仿宋_GBK" w:cs="方正仿宋_GBK"/>
              <w:sz w:val="24"/>
              <w:szCs w:val="24"/>
              <w:highlight w:val="none"/>
            </w:rPr>
            <w:t>负责下列建筑消防设施的维护保养技术服务。</w:t>
          </w:r>
          <w:r>
            <w:rPr>
              <w:sz w:val="24"/>
              <w:szCs w:val="24"/>
            </w:rPr>
            <w:tab/>
          </w:r>
          <w:r>
            <w:rPr>
              <w:sz w:val="24"/>
              <w:szCs w:val="24"/>
            </w:rPr>
            <w:fldChar w:fldCharType="begin"/>
          </w:r>
          <w:r>
            <w:rPr>
              <w:sz w:val="24"/>
              <w:szCs w:val="24"/>
            </w:rPr>
            <w:instrText xml:space="preserve"> PAGEREF _Toc17941 \h </w:instrText>
          </w:r>
          <w:r>
            <w:rPr>
              <w:sz w:val="24"/>
              <w:szCs w:val="24"/>
            </w:rPr>
            <w:fldChar w:fldCharType="separate"/>
          </w:r>
          <w:r>
            <w:rPr>
              <w:sz w:val="24"/>
              <w:szCs w:val="24"/>
            </w:rPr>
            <w:t>- 31 -</w:t>
          </w:r>
          <w:r>
            <w:rPr>
              <w:sz w:val="24"/>
              <w:szCs w:val="24"/>
            </w:rPr>
            <w:fldChar w:fldCharType="end"/>
          </w:r>
          <w:r>
            <w:rPr>
              <w:sz w:val="24"/>
              <w:szCs w:val="24"/>
            </w:rPr>
            <w:fldChar w:fldCharType="end"/>
          </w:r>
        </w:p>
        <w:p w14:paraId="71D2D87C">
          <w:pPr>
            <w:pStyle w:val="38"/>
            <w:tabs>
              <w:tab w:val="right" w:leader="dot" w:pos="9639"/>
            </w:tabs>
            <w:rPr>
              <w:sz w:val="24"/>
              <w:szCs w:val="24"/>
            </w:rPr>
          </w:pPr>
          <w:r>
            <w:rPr>
              <w:sz w:val="24"/>
              <w:szCs w:val="24"/>
            </w:rPr>
            <w:fldChar w:fldCharType="begin"/>
          </w:r>
          <w:r>
            <w:rPr>
              <w:sz w:val="24"/>
              <w:szCs w:val="24"/>
            </w:rPr>
            <w:instrText xml:space="preserve"> HYPERLINK \l _Toc2042 </w:instrText>
          </w:r>
          <w:r>
            <w:rPr>
              <w:sz w:val="24"/>
              <w:szCs w:val="24"/>
            </w:rPr>
            <w:fldChar w:fldCharType="separate"/>
          </w:r>
          <w:r>
            <w:rPr>
              <w:rFonts w:hint="eastAsia" w:ascii="方正仿宋_GBK" w:hAnsi="方正仿宋_GBK" w:eastAsia="方正仿宋_GBK" w:cs="方正仿宋_GBK"/>
              <w:sz w:val="24"/>
              <w:szCs w:val="24"/>
              <w:lang w:val="en-US" w:eastAsia="zh-CN"/>
            </w:rPr>
            <w:t xml:space="preserve">三、 </w:t>
          </w:r>
          <w:r>
            <w:rPr>
              <w:rFonts w:hint="eastAsia" w:ascii="方正仿宋_GBK" w:hAnsi="方正仿宋_GBK" w:eastAsia="方正仿宋_GBK" w:cs="方正仿宋_GBK"/>
              <w:sz w:val="24"/>
              <w:szCs w:val="24"/>
              <w:highlight w:val="none"/>
            </w:rPr>
            <w:t>维护保养技术依据：</w:t>
          </w:r>
          <w:r>
            <w:rPr>
              <w:sz w:val="24"/>
              <w:szCs w:val="24"/>
            </w:rPr>
            <w:tab/>
          </w:r>
          <w:r>
            <w:rPr>
              <w:sz w:val="24"/>
              <w:szCs w:val="24"/>
            </w:rPr>
            <w:fldChar w:fldCharType="begin"/>
          </w:r>
          <w:r>
            <w:rPr>
              <w:sz w:val="24"/>
              <w:szCs w:val="24"/>
            </w:rPr>
            <w:instrText xml:space="preserve"> PAGEREF _Toc2042 \h </w:instrText>
          </w:r>
          <w:r>
            <w:rPr>
              <w:sz w:val="24"/>
              <w:szCs w:val="24"/>
            </w:rPr>
            <w:fldChar w:fldCharType="separate"/>
          </w:r>
          <w:r>
            <w:rPr>
              <w:sz w:val="24"/>
              <w:szCs w:val="24"/>
            </w:rPr>
            <w:t>- 31 -</w:t>
          </w:r>
          <w:r>
            <w:rPr>
              <w:sz w:val="24"/>
              <w:szCs w:val="24"/>
            </w:rPr>
            <w:fldChar w:fldCharType="end"/>
          </w:r>
          <w:r>
            <w:rPr>
              <w:sz w:val="24"/>
              <w:szCs w:val="24"/>
            </w:rPr>
            <w:fldChar w:fldCharType="end"/>
          </w:r>
        </w:p>
        <w:p w14:paraId="1D69D4DD">
          <w:pPr>
            <w:pStyle w:val="38"/>
            <w:tabs>
              <w:tab w:val="right" w:leader="dot" w:pos="9639"/>
            </w:tabs>
            <w:rPr>
              <w:sz w:val="24"/>
              <w:szCs w:val="24"/>
            </w:rPr>
          </w:pPr>
          <w:r>
            <w:rPr>
              <w:sz w:val="24"/>
              <w:szCs w:val="24"/>
            </w:rPr>
            <w:fldChar w:fldCharType="begin"/>
          </w:r>
          <w:r>
            <w:rPr>
              <w:sz w:val="24"/>
              <w:szCs w:val="24"/>
            </w:rPr>
            <w:instrText xml:space="preserve"> HYPERLINK \l _Toc31248 </w:instrText>
          </w:r>
          <w:r>
            <w:rPr>
              <w:sz w:val="24"/>
              <w:szCs w:val="24"/>
            </w:rPr>
            <w:fldChar w:fldCharType="separate"/>
          </w:r>
          <w:r>
            <w:rPr>
              <w:rFonts w:hint="eastAsia" w:ascii="方正仿宋_GBK" w:hAnsi="方正仿宋_GBK" w:eastAsia="方正仿宋_GBK" w:cs="方正仿宋_GBK"/>
              <w:sz w:val="24"/>
              <w:szCs w:val="24"/>
            </w:rPr>
            <w:t xml:space="preserve">四、 </w:t>
          </w:r>
          <w:r>
            <w:rPr>
              <w:rFonts w:hint="eastAsia" w:ascii="方正仿宋_GBK" w:hAnsi="方正仿宋_GBK" w:eastAsia="方正仿宋_GBK" w:cs="方正仿宋_GBK"/>
              <w:sz w:val="24"/>
              <w:szCs w:val="24"/>
              <w:highlight w:val="none"/>
              <w:lang w:eastAsia="zh-CN"/>
            </w:rPr>
            <w:t>采购人</w:t>
          </w:r>
          <w:r>
            <w:rPr>
              <w:rFonts w:hint="eastAsia" w:ascii="方正仿宋_GBK" w:hAnsi="方正仿宋_GBK" w:eastAsia="方正仿宋_GBK" w:cs="方正仿宋_GBK"/>
              <w:sz w:val="24"/>
              <w:szCs w:val="24"/>
              <w:highlight w:val="none"/>
            </w:rPr>
            <w:t>的权利、义务：（甲乙双方自行商定）</w:t>
          </w:r>
          <w:r>
            <w:rPr>
              <w:sz w:val="24"/>
              <w:szCs w:val="24"/>
            </w:rPr>
            <w:tab/>
          </w:r>
          <w:r>
            <w:rPr>
              <w:sz w:val="24"/>
              <w:szCs w:val="24"/>
            </w:rPr>
            <w:fldChar w:fldCharType="begin"/>
          </w:r>
          <w:r>
            <w:rPr>
              <w:sz w:val="24"/>
              <w:szCs w:val="24"/>
            </w:rPr>
            <w:instrText xml:space="preserve"> PAGEREF _Toc31248 \h </w:instrText>
          </w:r>
          <w:r>
            <w:rPr>
              <w:sz w:val="24"/>
              <w:szCs w:val="24"/>
            </w:rPr>
            <w:fldChar w:fldCharType="separate"/>
          </w:r>
          <w:r>
            <w:rPr>
              <w:sz w:val="24"/>
              <w:szCs w:val="24"/>
            </w:rPr>
            <w:t>- 31 -</w:t>
          </w:r>
          <w:r>
            <w:rPr>
              <w:sz w:val="24"/>
              <w:szCs w:val="24"/>
            </w:rPr>
            <w:fldChar w:fldCharType="end"/>
          </w:r>
          <w:r>
            <w:rPr>
              <w:sz w:val="24"/>
              <w:szCs w:val="24"/>
            </w:rPr>
            <w:fldChar w:fldCharType="end"/>
          </w:r>
        </w:p>
        <w:p w14:paraId="145C0CE2">
          <w:pPr>
            <w:pStyle w:val="38"/>
            <w:tabs>
              <w:tab w:val="right" w:leader="dot" w:pos="9639"/>
            </w:tabs>
            <w:rPr>
              <w:sz w:val="24"/>
              <w:szCs w:val="24"/>
            </w:rPr>
          </w:pPr>
          <w:r>
            <w:rPr>
              <w:sz w:val="24"/>
              <w:szCs w:val="24"/>
            </w:rPr>
            <w:fldChar w:fldCharType="begin"/>
          </w:r>
          <w:r>
            <w:rPr>
              <w:sz w:val="24"/>
              <w:szCs w:val="24"/>
            </w:rPr>
            <w:instrText xml:space="preserve"> HYPERLINK \l _Toc24622 </w:instrText>
          </w:r>
          <w:r>
            <w:rPr>
              <w:sz w:val="24"/>
              <w:szCs w:val="24"/>
            </w:rPr>
            <w:fldChar w:fldCharType="separate"/>
          </w:r>
          <w:r>
            <w:rPr>
              <w:rFonts w:hint="eastAsia" w:ascii="方正仿宋_GBK" w:hAnsi="方正仿宋_GBK" w:eastAsia="方正仿宋_GBK" w:cs="方正仿宋_GBK"/>
              <w:sz w:val="24"/>
              <w:szCs w:val="24"/>
              <w:highlight w:val="none"/>
            </w:rPr>
            <w:t>五、</w:t>
          </w:r>
          <w:r>
            <w:rPr>
              <w:rFonts w:hint="eastAsia" w:ascii="方正仿宋_GBK" w:hAnsi="方正仿宋_GBK" w:eastAsia="方正仿宋_GBK" w:cs="方正仿宋_GBK"/>
              <w:sz w:val="24"/>
              <w:szCs w:val="24"/>
              <w:highlight w:val="none"/>
              <w:lang w:eastAsia="zh-CN"/>
            </w:rPr>
            <w:t>供应商</w:t>
          </w:r>
          <w:r>
            <w:rPr>
              <w:rFonts w:hint="eastAsia" w:ascii="方正仿宋_GBK" w:hAnsi="方正仿宋_GBK" w:eastAsia="方正仿宋_GBK" w:cs="方正仿宋_GBK"/>
              <w:sz w:val="24"/>
              <w:szCs w:val="24"/>
              <w:highlight w:val="none"/>
            </w:rPr>
            <w:t>的权利、义务：（甲乙双方自行商定）</w:t>
          </w:r>
          <w:r>
            <w:rPr>
              <w:sz w:val="24"/>
              <w:szCs w:val="24"/>
            </w:rPr>
            <w:tab/>
          </w:r>
          <w:r>
            <w:rPr>
              <w:sz w:val="24"/>
              <w:szCs w:val="24"/>
            </w:rPr>
            <w:fldChar w:fldCharType="begin"/>
          </w:r>
          <w:r>
            <w:rPr>
              <w:sz w:val="24"/>
              <w:szCs w:val="24"/>
            </w:rPr>
            <w:instrText xml:space="preserve"> PAGEREF _Toc24622 \h </w:instrText>
          </w:r>
          <w:r>
            <w:rPr>
              <w:sz w:val="24"/>
              <w:szCs w:val="24"/>
            </w:rPr>
            <w:fldChar w:fldCharType="separate"/>
          </w:r>
          <w:r>
            <w:rPr>
              <w:sz w:val="24"/>
              <w:szCs w:val="24"/>
            </w:rPr>
            <w:t>- 31 -</w:t>
          </w:r>
          <w:r>
            <w:rPr>
              <w:sz w:val="24"/>
              <w:szCs w:val="24"/>
            </w:rPr>
            <w:fldChar w:fldCharType="end"/>
          </w:r>
          <w:r>
            <w:rPr>
              <w:sz w:val="24"/>
              <w:szCs w:val="24"/>
            </w:rPr>
            <w:fldChar w:fldCharType="end"/>
          </w:r>
        </w:p>
        <w:p w14:paraId="4B1C2079">
          <w:pPr>
            <w:pStyle w:val="38"/>
            <w:tabs>
              <w:tab w:val="right" w:leader="dot" w:pos="9639"/>
            </w:tabs>
            <w:rPr>
              <w:sz w:val="24"/>
              <w:szCs w:val="24"/>
            </w:rPr>
          </w:pPr>
          <w:r>
            <w:rPr>
              <w:sz w:val="24"/>
              <w:szCs w:val="24"/>
            </w:rPr>
            <w:fldChar w:fldCharType="begin"/>
          </w:r>
          <w:r>
            <w:rPr>
              <w:sz w:val="24"/>
              <w:szCs w:val="24"/>
            </w:rPr>
            <w:instrText xml:space="preserve"> HYPERLINK \l _Toc3491 </w:instrText>
          </w:r>
          <w:r>
            <w:rPr>
              <w:sz w:val="24"/>
              <w:szCs w:val="24"/>
            </w:rPr>
            <w:fldChar w:fldCharType="separate"/>
          </w:r>
          <w:r>
            <w:rPr>
              <w:rFonts w:hint="eastAsia" w:ascii="方正仿宋_GBK" w:hAnsi="方正仿宋_GBK" w:eastAsia="方正仿宋_GBK" w:cs="方正仿宋_GBK"/>
              <w:sz w:val="24"/>
              <w:szCs w:val="24"/>
              <w:highlight w:val="none"/>
            </w:rPr>
            <w:t>六、检查测试频次：</w:t>
          </w:r>
          <w:r>
            <w:rPr>
              <w:sz w:val="24"/>
              <w:szCs w:val="24"/>
            </w:rPr>
            <w:tab/>
          </w:r>
          <w:r>
            <w:rPr>
              <w:sz w:val="24"/>
              <w:szCs w:val="24"/>
            </w:rPr>
            <w:fldChar w:fldCharType="begin"/>
          </w:r>
          <w:r>
            <w:rPr>
              <w:sz w:val="24"/>
              <w:szCs w:val="24"/>
            </w:rPr>
            <w:instrText xml:space="preserve"> PAGEREF _Toc3491 \h </w:instrText>
          </w:r>
          <w:r>
            <w:rPr>
              <w:sz w:val="24"/>
              <w:szCs w:val="24"/>
            </w:rPr>
            <w:fldChar w:fldCharType="separate"/>
          </w:r>
          <w:r>
            <w:rPr>
              <w:sz w:val="24"/>
              <w:szCs w:val="24"/>
            </w:rPr>
            <w:t>- 31 -</w:t>
          </w:r>
          <w:r>
            <w:rPr>
              <w:sz w:val="24"/>
              <w:szCs w:val="24"/>
            </w:rPr>
            <w:fldChar w:fldCharType="end"/>
          </w:r>
          <w:r>
            <w:rPr>
              <w:sz w:val="24"/>
              <w:szCs w:val="24"/>
            </w:rPr>
            <w:fldChar w:fldCharType="end"/>
          </w:r>
        </w:p>
        <w:p w14:paraId="1E3C2139">
          <w:pPr>
            <w:pStyle w:val="38"/>
            <w:tabs>
              <w:tab w:val="right" w:leader="dot" w:pos="9639"/>
            </w:tabs>
            <w:rPr>
              <w:sz w:val="24"/>
              <w:szCs w:val="24"/>
            </w:rPr>
          </w:pPr>
          <w:r>
            <w:rPr>
              <w:sz w:val="24"/>
              <w:szCs w:val="24"/>
            </w:rPr>
            <w:fldChar w:fldCharType="begin"/>
          </w:r>
          <w:r>
            <w:rPr>
              <w:sz w:val="24"/>
              <w:szCs w:val="24"/>
            </w:rPr>
            <w:instrText xml:space="preserve"> HYPERLINK \l _Toc26375 </w:instrText>
          </w:r>
          <w:r>
            <w:rPr>
              <w:sz w:val="24"/>
              <w:szCs w:val="24"/>
            </w:rPr>
            <w:fldChar w:fldCharType="separate"/>
          </w:r>
          <w:r>
            <w:rPr>
              <w:rFonts w:hint="eastAsia" w:ascii="方正仿宋_GBK" w:hAnsi="方正仿宋_GBK" w:eastAsia="方正仿宋_GBK" w:cs="方正仿宋_GBK"/>
              <w:sz w:val="24"/>
              <w:szCs w:val="24"/>
              <w:highlight w:val="none"/>
            </w:rPr>
            <w:t>七、维保费用及支付方式、期限</w:t>
          </w:r>
          <w:r>
            <w:rPr>
              <w:sz w:val="24"/>
              <w:szCs w:val="24"/>
            </w:rPr>
            <w:tab/>
          </w:r>
          <w:r>
            <w:rPr>
              <w:sz w:val="24"/>
              <w:szCs w:val="24"/>
            </w:rPr>
            <w:fldChar w:fldCharType="begin"/>
          </w:r>
          <w:r>
            <w:rPr>
              <w:sz w:val="24"/>
              <w:szCs w:val="24"/>
            </w:rPr>
            <w:instrText xml:space="preserve"> PAGEREF _Toc26375 \h </w:instrText>
          </w:r>
          <w:r>
            <w:rPr>
              <w:sz w:val="24"/>
              <w:szCs w:val="24"/>
            </w:rPr>
            <w:fldChar w:fldCharType="separate"/>
          </w:r>
          <w:r>
            <w:rPr>
              <w:sz w:val="24"/>
              <w:szCs w:val="24"/>
            </w:rPr>
            <w:t>- 31 -</w:t>
          </w:r>
          <w:r>
            <w:rPr>
              <w:sz w:val="24"/>
              <w:szCs w:val="24"/>
            </w:rPr>
            <w:fldChar w:fldCharType="end"/>
          </w:r>
          <w:r>
            <w:rPr>
              <w:sz w:val="24"/>
              <w:szCs w:val="24"/>
            </w:rPr>
            <w:fldChar w:fldCharType="end"/>
          </w:r>
        </w:p>
        <w:p w14:paraId="666184F5">
          <w:pPr>
            <w:pStyle w:val="38"/>
            <w:tabs>
              <w:tab w:val="right" w:leader="dot" w:pos="9639"/>
            </w:tabs>
            <w:rPr>
              <w:sz w:val="24"/>
              <w:szCs w:val="24"/>
            </w:rPr>
          </w:pPr>
          <w:r>
            <w:rPr>
              <w:sz w:val="24"/>
              <w:szCs w:val="24"/>
            </w:rPr>
            <w:fldChar w:fldCharType="begin"/>
          </w:r>
          <w:r>
            <w:rPr>
              <w:sz w:val="24"/>
              <w:szCs w:val="24"/>
            </w:rPr>
            <w:instrText xml:space="preserve"> HYPERLINK \l _Toc29183 </w:instrText>
          </w:r>
          <w:r>
            <w:rPr>
              <w:sz w:val="24"/>
              <w:szCs w:val="24"/>
            </w:rPr>
            <w:fldChar w:fldCharType="separate"/>
          </w:r>
          <w:r>
            <w:rPr>
              <w:rFonts w:hint="eastAsia" w:ascii="方正仿宋_GBK" w:hAnsi="方正仿宋_GBK" w:eastAsia="方正仿宋_GBK" w:cs="方正仿宋_GBK"/>
              <w:sz w:val="24"/>
              <w:szCs w:val="24"/>
              <w:highlight w:val="none"/>
            </w:rPr>
            <w:t>八、违约责任：（甲乙双方自行商定）</w:t>
          </w:r>
          <w:r>
            <w:rPr>
              <w:sz w:val="24"/>
              <w:szCs w:val="24"/>
            </w:rPr>
            <w:tab/>
          </w:r>
          <w:r>
            <w:rPr>
              <w:sz w:val="24"/>
              <w:szCs w:val="24"/>
            </w:rPr>
            <w:fldChar w:fldCharType="begin"/>
          </w:r>
          <w:r>
            <w:rPr>
              <w:sz w:val="24"/>
              <w:szCs w:val="24"/>
            </w:rPr>
            <w:instrText xml:space="preserve"> PAGEREF _Toc29183 \h </w:instrText>
          </w:r>
          <w:r>
            <w:rPr>
              <w:sz w:val="24"/>
              <w:szCs w:val="24"/>
            </w:rPr>
            <w:fldChar w:fldCharType="separate"/>
          </w:r>
          <w:r>
            <w:rPr>
              <w:sz w:val="24"/>
              <w:szCs w:val="24"/>
            </w:rPr>
            <w:t>- 32 -</w:t>
          </w:r>
          <w:r>
            <w:rPr>
              <w:sz w:val="24"/>
              <w:szCs w:val="24"/>
            </w:rPr>
            <w:fldChar w:fldCharType="end"/>
          </w:r>
          <w:r>
            <w:rPr>
              <w:sz w:val="24"/>
              <w:szCs w:val="24"/>
            </w:rPr>
            <w:fldChar w:fldCharType="end"/>
          </w:r>
        </w:p>
        <w:p w14:paraId="23CCAF6E">
          <w:pPr>
            <w:pStyle w:val="38"/>
            <w:tabs>
              <w:tab w:val="right" w:leader="dot" w:pos="9639"/>
            </w:tabs>
            <w:rPr>
              <w:sz w:val="24"/>
              <w:szCs w:val="24"/>
            </w:rPr>
          </w:pPr>
          <w:r>
            <w:rPr>
              <w:sz w:val="24"/>
              <w:szCs w:val="24"/>
            </w:rPr>
            <w:fldChar w:fldCharType="begin"/>
          </w:r>
          <w:r>
            <w:rPr>
              <w:sz w:val="24"/>
              <w:szCs w:val="24"/>
            </w:rPr>
            <w:instrText xml:space="preserve"> HYPERLINK \l _Toc5727 </w:instrText>
          </w:r>
          <w:r>
            <w:rPr>
              <w:sz w:val="24"/>
              <w:szCs w:val="24"/>
            </w:rPr>
            <w:fldChar w:fldCharType="separate"/>
          </w:r>
          <w:r>
            <w:rPr>
              <w:rFonts w:hint="eastAsia" w:ascii="方正仿宋_GBK" w:hAnsi="方正仿宋_GBK" w:eastAsia="方正仿宋_GBK" w:cs="方正仿宋_GBK"/>
              <w:sz w:val="24"/>
              <w:szCs w:val="24"/>
              <w:highlight w:val="none"/>
            </w:rPr>
            <w:t>十、双方协商的其他事项：（甲乙双方自行商定）。</w:t>
          </w:r>
          <w:r>
            <w:rPr>
              <w:sz w:val="24"/>
              <w:szCs w:val="24"/>
            </w:rPr>
            <w:tab/>
          </w:r>
          <w:r>
            <w:rPr>
              <w:sz w:val="24"/>
              <w:szCs w:val="24"/>
            </w:rPr>
            <w:fldChar w:fldCharType="begin"/>
          </w:r>
          <w:r>
            <w:rPr>
              <w:sz w:val="24"/>
              <w:szCs w:val="24"/>
            </w:rPr>
            <w:instrText xml:space="preserve"> PAGEREF _Toc5727 \h </w:instrText>
          </w:r>
          <w:r>
            <w:rPr>
              <w:sz w:val="24"/>
              <w:szCs w:val="24"/>
            </w:rPr>
            <w:fldChar w:fldCharType="separate"/>
          </w:r>
          <w:r>
            <w:rPr>
              <w:sz w:val="24"/>
              <w:szCs w:val="24"/>
            </w:rPr>
            <w:t>- 32 -</w:t>
          </w:r>
          <w:r>
            <w:rPr>
              <w:sz w:val="24"/>
              <w:szCs w:val="24"/>
            </w:rPr>
            <w:fldChar w:fldCharType="end"/>
          </w:r>
          <w:r>
            <w:rPr>
              <w:sz w:val="24"/>
              <w:szCs w:val="24"/>
            </w:rPr>
            <w:fldChar w:fldCharType="end"/>
          </w:r>
        </w:p>
        <w:p w14:paraId="476DBC61">
          <w:pPr>
            <w:pStyle w:val="38"/>
            <w:tabs>
              <w:tab w:val="right" w:leader="dot" w:pos="9639"/>
            </w:tabs>
            <w:rPr>
              <w:sz w:val="24"/>
              <w:szCs w:val="24"/>
            </w:rPr>
          </w:pPr>
          <w:r>
            <w:rPr>
              <w:sz w:val="24"/>
              <w:szCs w:val="24"/>
            </w:rPr>
            <w:fldChar w:fldCharType="begin"/>
          </w:r>
          <w:r>
            <w:rPr>
              <w:sz w:val="24"/>
              <w:szCs w:val="24"/>
            </w:rPr>
            <w:instrText xml:space="preserve"> HYPERLINK \l _Toc31066 </w:instrText>
          </w:r>
          <w:r>
            <w:rPr>
              <w:sz w:val="24"/>
              <w:szCs w:val="24"/>
            </w:rPr>
            <w:fldChar w:fldCharType="separate"/>
          </w:r>
          <w:r>
            <w:rPr>
              <w:rFonts w:hint="eastAsia" w:ascii="方正仿宋_GBK" w:hAnsi="方正仿宋_GBK" w:eastAsia="方正仿宋_GBK" w:cs="方正仿宋_GBK"/>
              <w:sz w:val="24"/>
              <w:szCs w:val="24"/>
              <w:highlight w:val="none"/>
            </w:rPr>
            <w:t>十一、合同份数：本合同一式   份，甲、乙双方各执   份。</w:t>
          </w:r>
          <w:r>
            <w:rPr>
              <w:sz w:val="24"/>
              <w:szCs w:val="24"/>
            </w:rPr>
            <w:tab/>
          </w:r>
          <w:r>
            <w:rPr>
              <w:sz w:val="24"/>
              <w:szCs w:val="24"/>
            </w:rPr>
            <w:fldChar w:fldCharType="begin"/>
          </w:r>
          <w:r>
            <w:rPr>
              <w:sz w:val="24"/>
              <w:szCs w:val="24"/>
            </w:rPr>
            <w:instrText xml:space="preserve"> PAGEREF _Toc31066 \h </w:instrText>
          </w:r>
          <w:r>
            <w:rPr>
              <w:sz w:val="24"/>
              <w:szCs w:val="24"/>
            </w:rPr>
            <w:fldChar w:fldCharType="separate"/>
          </w:r>
          <w:r>
            <w:rPr>
              <w:sz w:val="24"/>
              <w:szCs w:val="24"/>
            </w:rPr>
            <w:t>- 32 -</w:t>
          </w:r>
          <w:r>
            <w:rPr>
              <w:sz w:val="24"/>
              <w:szCs w:val="24"/>
            </w:rPr>
            <w:fldChar w:fldCharType="end"/>
          </w:r>
          <w:r>
            <w:rPr>
              <w:sz w:val="24"/>
              <w:szCs w:val="24"/>
            </w:rPr>
            <w:fldChar w:fldCharType="end"/>
          </w:r>
        </w:p>
        <w:p w14:paraId="0FA8BF62">
          <w:pPr>
            <w:pStyle w:val="38"/>
            <w:tabs>
              <w:tab w:val="right" w:leader="dot" w:pos="9639"/>
            </w:tabs>
            <w:rPr>
              <w:sz w:val="24"/>
              <w:szCs w:val="24"/>
            </w:rPr>
          </w:pPr>
          <w:r>
            <w:rPr>
              <w:sz w:val="24"/>
              <w:szCs w:val="24"/>
            </w:rPr>
            <w:fldChar w:fldCharType="begin"/>
          </w:r>
          <w:r>
            <w:rPr>
              <w:sz w:val="24"/>
              <w:szCs w:val="24"/>
            </w:rPr>
            <w:instrText xml:space="preserve"> HYPERLINK \l _Toc16458 </w:instrText>
          </w:r>
          <w:r>
            <w:rPr>
              <w:sz w:val="24"/>
              <w:szCs w:val="24"/>
            </w:rPr>
            <w:fldChar w:fldCharType="separate"/>
          </w:r>
          <w:r>
            <w:rPr>
              <w:rFonts w:hint="eastAsia"/>
              <w:sz w:val="24"/>
              <w:szCs w:val="24"/>
            </w:rPr>
            <w:t>第七篇  响应文件编制要求</w:t>
          </w:r>
          <w:r>
            <w:rPr>
              <w:sz w:val="24"/>
              <w:szCs w:val="24"/>
            </w:rPr>
            <w:tab/>
          </w:r>
          <w:r>
            <w:rPr>
              <w:sz w:val="24"/>
              <w:szCs w:val="24"/>
            </w:rPr>
            <w:fldChar w:fldCharType="begin"/>
          </w:r>
          <w:r>
            <w:rPr>
              <w:sz w:val="24"/>
              <w:szCs w:val="24"/>
            </w:rPr>
            <w:instrText xml:space="preserve"> PAGEREF _Toc16458 \h </w:instrText>
          </w:r>
          <w:r>
            <w:rPr>
              <w:sz w:val="24"/>
              <w:szCs w:val="24"/>
            </w:rPr>
            <w:fldChar w:fldCharType="separate"/>
          </w:r>
          <w:r>
            <w:rPr>
              <w:sz w:val="24"/>
              <w:szCs w:val="24"/>
            </w:rPr>
            <w:t>- 33 -</w:t>
          </w:r>
          <w:r>
            <w:rPr>
              <w:sz w:val="24"/>
              <w:szCs w:val="24"/>
            </w:rPr>
            <w:fldChar w:fldCharType="end"/>
          </w:r>
          <w:r>
            <w:rPr>
              <w:sz w:val="24"/>
              <w:szCs w:val="24"/>
            </w:rPr>
            <w:fldChar w:fldCharType="end"/>
          </w:r>
        </w:p>
        <w:p w14:paraId="2829B376">
          <w:pPr>
            <w:pStyle w:val="38"/>
            <w:tabs>
              <w:tab w:val="right" w:leader="dot" w:pos="9639"/>
            </w:tabs>
            <w:rPr>
              <w:sz w:val="24"/>
              <w:szCs w:val="24"/>
            </w:rPr>
          </w:pPr>
          <w:r>
            <w:rPr>
              <w:sz w:val="24"/>
              <w:szCs w:val="24"/>
            </w:rPr>
            <w:fldChar w:fldCharType="begin"/>
          </w:r>
          <w:r>
            <w:rPr>
              <w:sz w:val="24"/>
              <w:szCs w:val="24"/>
            </w:rPr>
            <w:instrText xml:space="preserve"> HYPERLINK \l _Toc15174 </w:instrText>
          </w:r>
          <w:r>
            <w:rPr>
              <w:sz w:val="24"/>
              <w:szCs w:val="24"/>
            </w:rPr>
            <w:fldChar w:fldCharType="separate"/>
          </w:r>
          <w:r>
            <w:rPr>
              <w:rFonts w:hint="eastAsia"/>
              <w:sz w:val="24"/>
              <w:szCs w:val="24"/>
            </w:rPr>
            <w:t>一、经济部分</w:t>
          </w:r>
          <w:r>
            <w:rPr>
              <w:sz w:val="24"/>
              <w:szCs w:val="24"/>
            </w:rPr>
            <w:tab/>
          </w:r>
          <w:r>
            <w:rPr>
              <w:sz w:val="24"/>
              <w:szCs w:val="24"/>
            </w:rPr>
            <w:fldChar w:fldCharType="begin"/>
          </w:r>
          <w:r>
            <w:rPr>
              <w:sz w:val="24"/>
              <w:szCs w:val="24"/>
            </w:rPr>
            <w:instrText xml:space="preserve"> PAGEREF _Toc15174 \h </w:instrText>
          </w:r>
          <w:r>
            <w:rPr>
              <w:sz w:val="24"/>
              <w:szCs w:val="24"/>
            </w:rPr>
            <w:fldChar w:fldCharType="separate"/>
          </w:r>
          <w:r>
            <w:rPr>
              <w:sz w:val="24"/>
              <w:szCs w:val="24"/>
            </w:rPr>
            <w:t>- 33 -</w:t>
          </w:r>
          <w:r>
            <w:rPr>
              <w:sz w:val="24"/>
              <w:szCs w:val="24"/>
            </w:rPr>
            <w:fldChar w:fldCharType="end"/>
          </w:r>
          <w:r>
            <w:rPr>
              <w:sz w:val="24"/>
              <w:szCs w:val="24"/>
            </w:rPr>
            <w:fldChar w:fldCharType="end"/>
          </w:r>
        </w:p>
        <w:p w14:paraId="23817783">
          <w:pPr>
            <w:pStyle w:val="38"/>
            <w:tabs>
              <w:tab w:val="right" w:leader="dot" w:pos="9639"/>
            </w:tabs>
            <w:rPr>
              <w:sz w:val="24"/>
              <w:szCs w:val="24"/>
            </w:rPr>
          </w:pPr>
          <w:r>
            <w:rPr>
              <w:sz w:val="24"/>
              <w:szCs w:val="24"/>
            </w:rPr>
            <w:fldChar w:fldCharType="begin"/>
          </w:r>
          <w:r>
            <w:rPr>
              <w:sz w:val="24"/>
              <w:szCs w:val="24"/>
            </w:rPr>
            <w:instrText xml:space="preserve"> HYPERLINK \l _Toc15516 </w:instrText>
          </w:r>
          <w:r>
            <w:rPr>
              <w:sz w:val="24"/>
              <w:szCs w:val="24"/>
            </w:rPr>
            <w:fldChar w:fldCharType="separate"/>
          </w:r>
          <w:r>
            <w:rPr>
              <w:rFonts w:hint="eastAsia"/>
              <w:sz w:val="24"/>
              <w:szCs w:val="24"/>
            </w:rPr>
            <w:t>二、服务部分</w:t>
          </w:r>
          <w:r>
            <w:rPr>
              <w:sz w:val="24"/>
              <w:szCs w:val="24"/>
            </w:rPr>
            <w:tab/>
          </w:r>
          <w:r>
            <w:rPr>
              <w:sz w:val="24"/>
              <w:szCs w:val="24"/>
            </w:rPr>
            <w:fldChar w:fldCharType="begin"/>
          </w:r>
          <w:r>
            <w:rPr>
              <w:sz w:val="24"/>
              <w:szCs w:val="24"/>
            </w:rPr>
            <w:instrText xml:space="preserve"> PAGEREF _Toc15516 \h </w:instrText>
          </w:r>
          <w:r>
            <w:rPr>
              <w:sz w:val="24"/>
              <w:szCs w:val="24"/>
            </w:rPr>
            <w:fldChar w:fldCharType="separate"/>
          </w:r>
          <w:r>
            <w:rPr>
              <w:sz w:val="24"/>
              <w:szCs w:val="24"/>
            </w:rPr>
            <w:t>- 33 -</w:t>
          </w:r>
          <w:r>
            <w:rPr>
              <w:sz w:val="24"/>
              <w:szCs w:val="24"/>
            </w:rPr>
            <w:fldChar w:fldCharType="end"/>
          </w:r>
          <w:r>
            <w:rPr>
              <w:sz w:val="24"/>
              <w:szCs w:val="24"/>
            </w:rPr>
            <w:fldChar w:fldCharType="end"/>
          </w:r>
        </w:p>
        <w:p w14:paraId="33101361">
          <w:pPr>
            <w:pStyle w:val="38"/>
            <w:tabs>
              <w:tab w:val="right" w:leader="dot" w:pos="9639"/>
            </w:tabs>
            <w:rPr>
              <w:sz w:val="24"/>
              <w:szCs w:val="24"/>
            </w:rPr>
          </w:pPr>
          <w:r>
            <w:rPr>
              <w:sz w:val="24"/>
              <w:szCs w:val="24"/>
            </w:rPr>
            <w:fldChar w:fldCharType="begin"/>
          </w:r>
          <w:r>
            <w:rPr>
              <w:sz w:val="24"/>
              <w:szCs w:val="24"/>
            </w:rPr>
            <w:instrText xml:space="preserve"> HYPERLINK \l _Toc31914 </w:instrText>
          </w:r>
          <w:r>
            <w:rPr>
              <w:sz w:val="24"/>
              <w:szCs w:val="24"/>
            </w:rPr>
            <w:fldChar w:fldCharType="separate"/>
          </w:r>
          <w:r>
            <w:rPr>
              <w:rFonts w:hint="eastAsia"/>
              <w:sz w:val="24"/>
              <w:szCs w:val="24"/>
            </w:rPr>
            <w:t>三、商务部分</w:t>
          </w:r>
          <w:r>
            <w:rPr>
              <w:sz w:val="24"/>
              <w:szCs w:val="24"/>
            </w:rPr>
            <w:tab/>
          </w:r>
          <w:r>
            <w:rPr>
              <w:sz w:val="24"/>
              <w:szCs w:val="24"/>
            </w:rPr>
            <w:fldChar w:fldCharType="begin"/>
          </w:r>
          <w:r>
            <w:rPr>
              <w:sz w:val="24"/>
              <w:szCs w:val="24"/>
            </w:rPr>
            <w:instrText xml:space="preserve"> PAGEREF _Toc31914 \h </w:instrText>
          </w:r>
          <w:r>
            <w:rPr>
              <w:sz w:val="24"/>
              <w:szCs w:val="24"/>
            </w:rPr>
            <w:fldChar w:fldCharType="separate"/>
          </w:r>
          <w:r>
            <w:rPr>
              <w:sz w:val="24"/>
              <w:szCs w:val="24"/>
            </w:rPr>
            <w:t>- 33 -</w:t>
          </w:r>
          <w:r>
            <w:rPr>
              <w:sz w:val="24"/>
              <w:szCs w:val="24"/>
            </w:rPr>
            <w:fldChar w:fldCharType="end"/>
          </w:r>
          <w:r>
            <w:rPr>
              <w:sz w:val="24"/>
              <w:szCs w:val="24"/>
            </w:rPr>
            <w:fldChar w:fldCharType="end"/>
          </w:r>
        </w:p>
        <w:p w14:paraId="0635AEEE">
          <w:pPr>
            <w:pStyle w:val="38"/>
            <w:tabs>
              <w:tab w:val="right" w:leader="dot" w:pos="9639"/>
            </w:tabs>
            <w:rPr>
              <w:sz w:val="24"/>
              <w:szCs w:val="24"/>
            </w:rPr>
          </w:pPr>
          <w:r>
            <w:rPr>
              <w:sz w:val="24"/>
              <w:szCs w:val="24"/>
            </w:rPr>
            <w:fldChar w:fldCharType="begin"/>
          </w:r>
          <w:r>
            <w:rPr>
              <w:sz w:val="24"/>
              <w:szCs w:val="24"/>
            </w:rPr>
            <w:instrText xml:space="preserve"> HYPERLINK \l _Toc24444 </w:instrText>
          </w:r>
          <w:r>
            <w:rPr>
              <w:sz w:val="24"/>
              <w:szCs w:val="24"/>
            </w:rPr>
            <w:fldChar w:fldCharType="separate"/>
          </w:r>
          <w:r>
            <w:rPr>
              <w:rFonts w:hint="eastAsia"/>
              <w:sz w:val="24"/>
              <w:szCs w:val="24"/>
            </w:rPr>
            <w:t>四、资格条件及其他</w:t>
          </w:r>
          <w:r>
            <w:rPr>
              <w:sz w:val="24"/>
              <w:szCs w:val="24"/>
            </w:rPr>
            <w:tab/>
          </w:r>
          <w:r>
            <w:rPr>
              <w:sz w:val="24"/>
              <w:szCs w:val="24"/>
            </w:rPr>
            <w:fldChar w:fldCharType="begin"/>
          </w:r>
          <w:r>
            <w:rPr>
              <w:sz w:val="24"/>
              <w:szCs w:val="24"/>
            </w:rPr>
            <w:instrText xml:space="preserve"> PAGEREF _Toc24444 \h </w:instrText>
          </w:r>
          <w:r>
            <w:rPr>
              <w:sz w:val="24"/>
              <w:szCs w:val="24"/>
            </w:rPr>
            <w:fldChar w:fldCharType="separate"/>
          </w:r>
          <w:r>
            <w:rPr>
              <w:sz w:val="24"/>
              <w:szCs w:val="24"/>
            </w:rPr>
            <w:t>- 33 -</w:t>
          </w:r>
          <w:r>
            <w:rPr>
              <w:sz w:val="24"/>
              <w:szCs w:val="24"/>
            </w:rPr>
            <w:fldChar w:fldCharType="end"/>
          </w:r>
          <w:r>
            <w:rPr>
              <w:sz w:val="24"/>
              <w:szCs w:val="24"/>
            </w:rPr>
            <w:fldChar w:fldCharType="end"/>
          </w:r>
        </w:p>
        <w:p w14:paraId="74E8FC46">
          <w:pPr>
            <w:pStyle w:val="38"/>
            <w:tabs>
              <w:tab w:val="right" w:leader="dot" w:pos="9639"/>
            </w:tabs>
            <w:rPr>
              <w:sz w:val="24"/>
              <w:szCs w:val="24"/>
            </w:rPr>
          </w:pPr>
          <w:r>
            <w:rPr>
              <w:sz w:val="24"/>
              <w:szCs w:val="24"/>
            </w:rPr>
            <w:fldChar w:fldCharType="begin"/>
          </w:r>
          <w:r>
            <w:rPr>
              <w:sz w:val="24"/>
              <w:szCs w:val="24"/>
            </w:rPr>
            <w:instrText xml:space="preserve"> HYPERLINK \l _Toc16521 </w:instrText>
          </w:r>
          <w:r>
            <w:rPr>
              <w:sz w:val="24"/>
              <w:szCs w:val="24"/>
            </w:rPr>
            <w:fldChar w:fldCharType="separate"/>
          </w:r>
          <w:r>
            <w:rPr>
              <w:rFonts w:hint="eastAsia"/>
              <w:sz w:val="24"/>
              <w:szCs w:val="24"/>
            </w:rPr>
            <w:t>五、其他资料</w:t>
          </w:r>
          <w:r>
            <w:rPr>
              <w:sz w:val="24"/>
              <w:szCs w:val="24"/>
            </w:rPr>
            <w:tab/>
          </w:r>
          <w:r>
            <w:rPr>
              <w:sz w:val="24"/>
              <w:szCs w:val="24"/>
            </w:rPr>
            <w:fldChar w:fldCharType="begin"/>
          </w:r>
          <w:r>
            <w:rPr>
              <w:sz w:val="24"/>
              <w:szCs w:val="24"/>
            </w:rPr>
            <w:instrText xml:space="preserve"> PAGEREF _Toc16521 \h </w:instrText>
          </w:r>
          <w:r>
            <w:rPr>
              <w:sz w:val="24"/>
              <w:szCs w:val="24"/>
            </w:rPr>
            <w:fldChar w:fldCharType="separate"/>
          </w:r>
          <w:r>
            <w:rPr>
              <w:sz w:val="24"/>
              <w:szCs w:val="24"/>
            </w:rPr>
            <w:t>- 33 -</w:t>
          </w:r>
          <w:r>
            <w:rPr>
              <w:sz w:val="24"/>
              <w:szCs w:val="24"/>
            </w:rPr>
            <w:fldChar w:fldCharType="end"/>
          </w:r>
          <w:r>
            <w:rPr>
              <w:sz w:val="24"/>
              <w:szCs w:val="24"/>
            </w:rPr>
            <w:fldChar w:fldCharType="end"/>
          </w:r>
        </w:p>
        <w:p w14:paraId="692FA5D0">
          <w:pPr>
            <w:pStyle w:val="38"/>
            <w:tabs>
              <w:tab w:val="right" w:leader="dot" w:pos="9639"/>
            </w:tabs>
            <w:rPr>
              <w:sz w:val="24"/>
              <w:szCs w:val="24"/>
            </w:rPr>
          </w:pPr>
          <w:r>
            <w:rPr>
              <w:sz w:val="24"/>
              <w:szCs w:val="24"/>
            </w:rPr>
            <w:fldChar w:fldCharType="begin"/>
          </w:r>
          <w:r>
            <w:rPr>
              <w:sz w:val="24"/>
              <w:szCs w:val="24"/>
            </w:rPr>
            <w:instrText xml:space="preserve"> HYPERLINK \l _Toc27018 </w:instrText>
          </w:r>
          <w:r>
            <w:rPr>
              <w:sz w:val="24"/>
              <w:szCs w:val="24"/>
            </w:rPr>
            <w:fldChar w:fldCharType="separate"/>
          </w:r>
          <w:r>
            <w:rPr>
              <w:rFonts w:hint="eastAsia" w:ascii="方正黑体_GBK" w:hAnsi="方正黑体_GBK" w:eastAsia="方正黑体_GBK" w:cs="方正黑体_GBK"/>
              <w:bCs/>
              <w:sz w:val="24"/>
              <w:szCs w:val="24"/>
            </w:rPr>
            <w:t>一、经济部分</w:t>
          </w:r>
          <w:r>
            <w:rPr>
              <w:sz w:val="24"/>
              <w:szCs w:val="24"/>
            </w:rPr>
            <w:tab/>
          </w:r>
          <w:r>
            <w:rPr>
              <w:sz w:val="24"/>
              <w:szCs w:val="24"/>
            </w:rPr>
            <w:fldChar w:fldCharType="begin"/>
          </w:r>
          <w:r>
            <w:rPr>
              <w:sz w:val="24"/>
              <w:szCs w:val="24"/>
            </w:rPr>
            <w:instrText xml:space="preserve"> PAGEREF _Toc27018 \h </w:instrText>
          </w:r>
          <w:r>
            <w:rPr>
              <w:sz w:val="24"/>
              <w:szCs w:val="24"/>
            </w:rPr>
            <w:fldChar w:fldCharType="separate"/>
          </w:r>
          <w:r>
            <w:rPr>
              <w:sz w:val="24"/>
              <w:szCs w:val="24"/>
            </w:rPr>
            <w:t>- 34 -</w:t>
          </w:r>
          <w:r>
            <w:rPr>
              <w:sz w:val="24"/>
              <w:szCs w:val="24"/>
            </w:rPr>
            <w:fldChar w:fldCharType="end"/>
          </w:r>
          <w:r>
            <w:rPr>
              <w:sz w:val="24"/>
              <w:szCs w:val="24"/>
            </w:rPr>
            <w:fldChar w:fldCharType="end"/>
          </w:r>
        </w:p>
        <w:p w14:paraId="7C534AE1">
          <w:pPr>
            <w:pStyle w:val="46"/>
            <w:tabs>
              <w:tab w:val="right" w:leader="dot" w:pos="9639"/>
            </w:tabs>
            <w:rPr>
              <w:sz w:val="24"/>
              <w:szCs w:val="24"/>
            </w:rPr>
          </w:pPr>
          <w:r>
            <w:rPr>
              <w:sz w:val="24"/>
              <w:szCs w:val="24"/>
            </w:rPr>
            <w:fldChar w:fldCharType="begin"/>
          </w:r>
          <w:r>
            <w:rPr>
              <w:sz w:val="24"/>
              <w:szCs w:val="24"/>
            </w:rPr>
            <w:instrText xml:space="preserve"> HYPERLINK \l _Toc4092 </w:instrText>
          </w:r>
          <w:r>
            <w:rPr>
              <w:sz w:val="24"/>
              <w:szCs w:val="24"/>
            </w:rPr>
            <w:fldChar w:fldCharType="separate"/>
          </w:r>
          <w:r>
            <w:rPr>
              <w:rFonts w:hint="eastAsia" w:ascii="方正楷体_GBK" w:hAnsi="方正楷体_GBK" w:eastAsia="方正楷体_GBK" w:cs="方正楷体_GBK"/>
              <w:sz w:val="24"/>
              <w:szCs w:val="24"/>
            </w:rPr>
            <w:t>（一）</w:t>
          </w:r>
          <w:r>
            <w:rPr>
              <w:rFonts w:hint="eastAsia" w:ascii="方正楷体_GBK" w:hAnsi="方正楷体_GBK" w:eastAsia="方正楷体_GBK" w:cs="方正楷体_GBK"/>
              <w:sz w:val="24"/>
              <w:szCs w:val="24"/>
              <w:lang w:eastAsia="zh-CN"/>
            </w:rPr>
            <w:t>遴选</w:t>
          </w:r>
          <w:r>
            <w:rPr>
              <w:rFonts w:hint="eastAsia" w:ascii="方正楷体_GBK" w:hAnsi="方正楷体_GBK" w:eastAsia="方正楷体_GBK" w:cs="方正楷体_GBK"/>
              <w:sz w:val="24"/>
              <w:szCs w:val="24"/>
            </w:rPr>
            <w:t>报价函</w:t>
          </w:r>
          <w:r>
            <w:rPr>
              <w:sz w:val="24"/>
              <w:szCs w:val="24"/>
            </w:rPr>
            <w:tab/>
          </w:r>
          <w:r>
            <w:rPr>
              <w:sz w:val="24"/>
              <w:szCs w:val="24"/>
            </w:rPr>
            <w:fldChar w:fldCharType="begin"/>
          </w:r>
          <w:r>
            <w:rPr>
              <w:sz w:val="24"/>
              <w:szCs w:val="24"/>
            </w:rPr>
            <w:instrText xml:space="preserve"> PAGEREF _Toc4092 \h </w:instrText>
          </w:r>
          <w:r>
            <w:rPr>
              <w:sz w:val="24"/>
              <w:szCs w:val="24"/>
            </w:rPr>
            <w:fldChar w:fldCharType="separate"/>
          </w:r>
          <w:r>
            <w:rPr>
              <w:sz w:val="24"/>
              <w:szCs w:val="24"/>
            </w:rPr>
            <w:t>- 34 -</w:t>
          </w:r>
          <w:r>
            <w:rPr>
              <w:sz w:val="24"/>
              <w:szCs w:val="24"/>
            </w:rPr>
            <w:fldChar w:fldCharType="end"/>
          </w:r>
          <w:r>
            <w:rPr>
              <w:sz w:val="24"/>
              <w:szCs w:val="24"/>
            </w:rPr>
            <w:fldChar w:fldCharType="end"/>
          </w:r>
        </w:p>
        <w:p w14:paraId="56FB8793">
          <w:pPr>
            <w:pStyle w:val="46"/>
            <w:tabs>
              <w:tab w:val="right" w:leader="dot" w:pos="9639"/>
            </w:tabs>
            <w:rPr>
              <w:sz w:val="24"/>
              <w:szCs w:val="24"/>
            </w:rPr>
          </w:pPr>
          <w:r>
            <w:rPr>
              <w:sz w:val="24"/>
              <w:szCs w:val="24"/>
            </w:rPr>
            <w:fldChar w:fldCharType="begin"/>
          </w:r>
          <w:r>
            <w:rPr>
              <w:sz w:val="24"/>
              <w:szCs w:val="24"/>
            </w:rPr>
            <w:instrText xml:space="preserve"> HYPERLINK \l _Toc26230 </w:instrText>
          </w:r>
          <w:r>
            <w:rPr>
              <w:sz w:val="24"/>
              <w:szCs w:val="24"/>
            </w:rPr>
            <w:fldChar w:fldCharType="separate"/>
          </w:r>
          <w:r>
            <w:rPr>
              <w:rFonts w:hint="eastAsia" w:ascii="方正楷体_GBK" w:hAnsi="方正楷体_GBK" w:eastAsia="方正楷体_GBK" w:cs="方正楷体_GBK"/>
              <w:sz w:val="24"/>
              <w:szCs w:val="24"/>
              <w:lang w:eastAsia="zh-CN"/>
            </w:rPr>
            <w:t>（二）明细</w:t>
          </w:r>
          <w:r>
            <w:rPr>
              <w:rFonts w:hint="eastAsia" w:ascii="方正楷体_GBK" w:hAnsi="方正楷体_GBK" w:eastAsia="方正楷体_GBK" w:cs="方正楷体_GBK"/>
              <w:sz w:val="24"/>
              <w:szCs w:val="24"/>
            </w:rPr>
            <w:t>报价表</w:t>
          </w:r>
          <w:r>
            <w:rPr>
              <w:sz w:val="24"/>
              <w:szCs w:val="24"/>
            </w:rPr>
            <w:tab/>
          </w:r>
          <w:r>
            <w:rPr>
              <w:sz w:val="24"/>
              <w:szCs w:val="24"/>
            </w:rPr>
            <w:fldChar w:fldCharType="begin"/>
          </w:r>
          <w:r>
            <w:rPr>
              <w:sz w:val="24"/>
              <w:szCs w:val="24"/>
            </w:rPr>
            <w:instrText xml:space="preserve"> PAGEREF _Toc26230 \h </w:instrText>
          </w:r>
          <w:r>
            <w:rPr>
              <w:sz w:val="24"/>
              <w:szCs w:val="24"/>
            </w:rPr>
            <w:fldChar w:fldCharType="separate"/>
          </w:r>
          <w:r>
            <w:rPr>
              <w:sz w:val="24"/>
              <w:szCs w:val="24"/>
            </w:rPr>
            <w:t>- 35 -</w:t>
          </w:r>
          <w:r>
            <w:rPr>
              <w:sz w:val="24"/>
              <w:szCs w:val="24"/>
            </w:rPr>
            <w:fldChar w:fldCharType="end"/>
          </w:r>
          <w:r>
            <w:rPr>
              <w:sz w:val="24"/>
              <w:szCs w:val="24"/>
            </w:rPr>
            <w:fldChar w:fldCharType="end"/>
          </w:r>
        </w:p>
        <w:p w14:paraId="29F8975E">
          <w:pPr>
            <w:pStyle w:val="38"/>
            <w:tabs>
              <w:tab w:val="right" w:leader="dot" w:pos="9639"/>
            </w:tabs>
            <w:rPr>
              <w:sz w:val="24"/>
              <w:szCs w:val="24"/>
            </w:rPr>
          </w:pPr>
          <w:r>
            <w:rPr>
              <w:sz w:val="24"/>
              <w:szCs w:val="24"/>
            </w:rPr>
            <w:fldChar w:fldCharType="begin"/>
          </w:r>
          <w:r>
            <w:rPr>
              <w:sz w:val="24"/>
              <w:szCs w:val="24"/>
            </w:rPr>
            <w:instrText xml:space="preserve"> HYPERLINK \l _Toc15116 </w:instrText>
          </w:r>
          <w:r>
            <w:rPr>
              <w:sz w:val="24"/>
              <w:szCs w:val="24"/>
            </w:rPr>
            <w:fldChar w:fldCharType="separate"/>
          </w:r>
          <w:r>
            <w:rPr>
              <w:rFonts w:hint="eastAsia" w:ascii="方正黑体_GBK" w:hAnsi="方正黑体_GBK" w:eastAsia="方正黑体_GBK" w:cs="方正黑体_GBK"/>
              <w:bCs/>
              <w:sz w:val="24"/>
              <w:szCs w:val="24"/>
            </w:rPr>
            <w:t>二、服务部分</w:t>
          </w:r>
          <w:r>
            <w:rPr>
              <w:sz w:val="24"/>
              <w:szCs w:val="24"/>
            </w:rPr>
            <w:tab/>
          </w:r>
          <w:r>
            <w:rPr>
              <w:sz w:val="24"/>
              <w:szCs w:val="24"/>
            </w:rPr>
            <w:fldChar w:fldCharType="begin"/>
          </w:r>
          <w:r>
            <w:rPr>
              <w:sz w:val="24"/>
              <w:szCs w:val="24"/>
            </w:rPr>
            <w:instrText xml:space="preserve"> PAGEREF _Toc15116 \h </w:instrText>
          </w:r>
          <w:r>
            <w:rPr>
              <w:sz w:val="24"/>
              <w:szCs w:val="24"/>
            </w:rPr>
            <w:fldChar w:fldCharType="separate"/>
          </w:r>
          <w:r>
            <w:rPr>
              <w:sz w:val="24"/>
              <w:szCs w:val="24"/>
            </w:rPr>
            <w:t>- 36 -</w:t>
          </w:r>
          <w:r>
            <w:rPr>
              <w:sz w:val="24"/>
              <w:szCs w:val="24"/>
            </w:rPr>
            <w:fldChar w:fldCharType="end"/>
          </w:r>
          <w:r>
            <w:rPr>
              <w:sz w:val="24"/>
              <w:szCs w:val="24"/>
            </w:rPr>
            <w:fldChar w:fldCharType="end"/>
          </w:r>
        </w:p>
        <w:p w14:paraId="5372A694">
          <w:pPr>
            <w:pStyle w:val="46"/>
            <w:tabs>
              <w:tab w:val="right" w:leader="dot" w:pos="9639"/>
            </w:tabs>
            <w:rPr>
              <w:sz w:val="24"/>
              <w:szCs w:val="24"/>
            </w:rPr>
          </w:pPr>
          <w:r>
            <w:rPr>
              <w:sz w:val="24"/>
              <w:szCs w:val="24"/>
            </w:rPr>
            <w:fldChar w:fldCharType="begin"/>
          </w:r>
          <w:r>
            <w:rPr>
              <w:sz w:val="24"/>
              <w:szCs w:val="24"/>
            </w:rPr>
            <w:instrText xml:space="preserve"> HYPERLINK \l _Toc21741 </w:instrText>
          </w:r>
          <w:r>
            <w:rPr>
              <w:sz w:val="24"/>
              <w:szCs w:val="24"/>
            </w:rPr>
            <w:fldChar w:fldCharType="separate"/>
          </w:r>
          <w:r>
            <w:rPr>
              <w:rFonts w:hint="eastAsia" w:ascii="方正楷体_GBK" w:hAnsi="方正楷体_GBK" w:eastAsia="方正楷体_GBK" w:cs="方正楷体_GBK"/>
              <w:sz w:val="24"/>
              <w:szCs w:val="24"/>
            </w:rPr>
            <w:t>（一）服务响应偏离表</w:t>
          </w:r>
          <w:r>
            <w:rPr>
              <w:sz w:val="24"/>
              <w:szCs w:val="24"/>
            </w:rPr>
            <w:tab/>
          </w:r>
          <w:r>
            <w:rPr>
              <w:sz w:val="24"/>
              <w:szCs w:val="24"/>
            </w:rPr>
            <w:fldChar w:fldCharType="begin"/>
          </w:r>
          <w:r>
            <w:rPr>
              <w:sz w:val="24"/>
              <w:szCs w:val="24"/>
            </w:rPr>
            <w:instrText xml:space="preserve"> PAGEREF _Toc21741 \h </w:instrText>
          </w:r>
          <w:r>
            <w:rPr>
              <w:sz w:val="24"/>
              <w:szCs w:val="24"/>
            </w:rPr>
            <w:fldChar w:fldCharType="separate"/>
          </w:r>
          <w:r>
            <w:rPr>
              <w:sz w:val="24"/>
              <w:szCs w:val="24"/>
            </w:rPr>
            <w:t>- 36 -</w:t>
          </w:r>
          <w:r>
            <w:rPr>
              <w:sz w:val="24"/>
              <w:szCs w:val="24"/>
            </w:rPr>
            <w:fldChar w:fldCharType="end"/>
          </w:r>
          <w:r>
            <w:rPr>
              <w:sz w:val="24"/>
              <w:szCs w:val="24"/>
            </w:rPr>
            <w:fldChar w:fldCharType="end"/>
          </w:r>
        </w:p>
        <w:p w14:paraId="752B6528">
          <w:pPr>
            <w:pStyle w:val="46"/>
            <w:tabs>
              <w:tab w:val="right" w:leader="dot" w:pos="9639"/>
            </w:tabs>
            <w:rPr>
              <w:sz w:val="24"/>
              <w:szCs w:val="24"/>
            </w:rPr>
          </w:pPr>
          <w:r>
            <w:rPr>
              <w:sz w:val="24"/>
              <w:szCs w:val="24"/>
            </w:rPr>
            <w:fldChar w:fldCharType="begin"/>
          </w:r>
          <w:r>
            <w:rPr>
              <w:sz w:val="24"/>
              <w:szCs w:val="24"/>
            </w:rPr>
            <w:instrText xml:space="preserve"> HYPERLINK \l _Toc8528 </w:instrText>
          </w:r>
          <w:r>
            <w:rPr>
              <w:sz w:val="24"/>
              <w:szCs w:val="24"/>
            </w:rPr>
            <w:fldChar w:fldCharType="separate"/>
          </w:r>
          <w:r>
            <w:rPr>
              <w:rFonts w:hint="eastAsia" w:ascii="方正楷体_GBK" w:hAnsi="方正楷体_GBK" w:eastAsia="方正楷体_GBK" w:cs="方正楷体_GBK"/>
              <w:sz w:val="24"/>
              <w:szCs w:val="24"/>
            </w:rPr>
            <w:t>（二）其他资料（格式自定）</w:t>
          </w:r>
          <w:r>
            <w:rPr>
              <w:sz w:val="24"/>
              <w:szCs w:val="24"/>
            </w:rPr>
            <w:tab/>
          </w:r>
          <w:r>
            <w:rPr>
              <w:sz w:val="24"/>
              <w:szCs w:val="24"/>
            </w:rPr>
            <w:fldChar w:fldCharType="begin"/>
          </w:r>
          <w:r>
            <w:rPr>
              <w:sz w:val="24"/>
              <w:szCs w:val="24"/>
            </w:rPr>
            <w:instrText xml:space="preserve"> PAGEREF _Toc8528 \h </w:instrText>
          </w:r>
          <w:r>
            <w:rPr>
              <w:sz w:val="24"/>
              <w:szCs w:val="24"/>
            </w:rPr>
            <w:fldChar w:fldCharType="separate"/>
          </w:r>
          <w:r>
            <w:rPr>
              <w:sz w:val="24"/>
              <w:szCs w:val="24"/>
            </w:rPr>
            <w:t>- 37 -</w:t>
          </w:r>
          <w:r>
            <w:rPr>
              <w:sz w:val="24"/>
              <w:szCs w:val="24"/>
            </w:rPr>
            <w:fldChar w:fldCharType="end"/>
          </w:r>
          <w:r>
            <w:rPr>
              <w:sz w:val="24"/>
              <w:szCs w:val="24"/>
            </w:rPr>
            <w:fldChar w:fldCharType="end"/>
          </w:r>
        </w:p>
        <w:p w14:paraId="11854E58">
          <w:pPr>
            <w:pStyle w:val="38"/>
            <w:tabs>
              <w:tab w:val="right" w:leader="dot" w:pos="9639"/>
            </w:tabs>
            <w:rPr>
              <w:sz w:val="24"/>
              <w:szCs w:val="24"/>
            </w:rPr>
          </w:pPr>
          <w:r>
            <w:rPr>
              <w:sz w:val="24"/>
              <w:szCs w:val="24"/>
            </w:rPr>
            <w:fldChar w:fldCharType="begin"/>
          </w:r>
          <w:r>
            <w:rPr>
              <w:sz w:val="24"/>
              <w:szCs w:val="24"/>
            </w:rPr>
            <w:instrText xml:space="preserve"> HYPERLINK \l _Toc2886 </w:instrText>
          </w:r>
          <w:r>
            <w:rPr>
              <w:sz w:val="24"/>
              <w:szCs w:val="24"/>
            </w:rPr>
            <w:fldChar w:fldCharType="separate"/>
          </w:r>
          <w:r>
            <w:rPr>
              <w:rFonts w:hint="eastAsia" w:ascii="方正黑体_GBK" w:hAnsi="方正黑体_GBK" w:eastAsia="方正黑体_GBK" w:cs="方正黑体_GBK"/>
              <w:bCs/>
              <w:sz w:val="24"/>
              <w:szCs w:val="24"/>
            </w:rPr>
            <w:t>三、商务部分</w:t>
          </w:r>
          <w:r>
            <w:rPr>
              <w:sz w:val="24"/>
              <w:szCs w:val="24"/>
            </w:rPr>
            <w:tab/>
          </w:r>
          <w:r>
            <w:rPr>
              <w:sz w:val="24"/>
              <w:szCs w:val="24"/>
            </w:rPr>
            <w:fldChar w:fldCharType="begin"/>
          </w:r>
          <w:r>
            <w:rPr>
              <w:sz w:val="24"/>
              <w:szCs w:val="24"/>
            </w:rPr>
            <w:instrText xml:space="preserve"> PAGEREF _Toc2886 \h </w:instrText>
          </w:r>
          <w:r>
            <w:rPr>
              <w:sz w:val="24"/>
              <w:szCs w:val="24"/>
            </w:rPr>
            <w:fldChar w:fldCharType="separate"/>
          </w:r>
          <w:r>
            <w:rPr>
              <w:sz w:val="24"/>
              <w:szCs w:val="24"/>
            </w:rPr>
            <w:t>- 38 -</w:t>
          </w:r>
          <w:r>
            <w:rPr>
              <w:sz w:val="24"/>
              <w:szCs w:val="24"/>
            </w:rPr>
            <w:fldChar w:fldCharType="end"/>
          </w:r>
          <w:r>
            <w:rPr>
              <w:sz w:val="24"/>
              <w:szCs w:val="24"/>
            </w:rPr>
            <w:fldChar w:fldCharType="end"/>
          </w:r>
        </w:p>
        <w:p w14:paraId="401834E9">
          <w:pPr>
            <w:pStyle w:val="46"/>
            <w:tabs>
              <w:tab w:val="right" w:leader="dot" w:pos="9639"/>
            </w:tabs>
            <w:rPr>
              <w:sz w:val="24"/>
              <w:szCs w:val="24"/>
            </w:rPr>
          </w:pPr>
          <w:r>
            <w:rPr>
              <w:sz w:val="24"/>
              <w:szCs w:val="24"/>
            </w:rPr>
            <w:fldChar w:fldCharType="begin"/>
          </w:r>
          <w:r>
            <w:rPr>
              <w:sz w:val="24"/>
              <w:szCs w:val="24"/>
            </w:rPr>
            <w:instrText xml:space="preserve"> HYPERLINK \l _Toc18550 </w:instrText>
          </w:r>
          <w:r>
            <w:rPr>
              <w:sz w:val="24"/>
              <w:szCs w:val="24"/>
            </w:rPr>
            <w:fldChar w:fldCharType="separate"/>
          </w:r>
          <w:r>
            <w:rPr>
              <w:rFonts w:hint="eastAsia" w:ascii="方正楷体_GBK" w:hAnsi="方正楷体_GBK" w:eastAsia="方正楷体_GBK" w:cs="方正楷体_GBK"/>
              <w:sz w:val="24"/>
              <w:szCs w:val="24"/>
            </w:rPr>
            <w:t>（一）商务响应偏离表</w:t>
          </w:r>
          <w:r>
            <w:rPr>
              <w:sz w:val="24"/>
              <w:szCs w:val="24"/>
            </w:rPr>
            <w:tab/>
          </w:r>
          <w:r>
            <w:rPr>
              <w:sz w:val="24"/>
              <w:szCs w:val="24"/>
            </w:rPr>
            <w:fldChar w:fldCharType="begin"/>
          </w:r>
          <w:r>
            <w:rPr>
              <w:sz w:val="24"/>
              <w:szCs w:val="24"/>
            </w:rPr>
            <w:instrText xml:space="preserve"> PAGEREF _Toc18550 \h </w:instrText>
          </w:r>
          <w:r>
            <w:rPr>
              <w:sz w:val="24"/>
              <w:szCs w:val="24"/>
            </w:rPr>
            <w:fldChar w:fldCharType="separate"/>
          </w:r>
          <w:r>
            <w:rPr>
              <w:sz w:val="24"/>
              <w:szCs w:val="24"/>
            </w:rPr>
            <w:t>- 38 -</w:t>
          </w:r>
          <w:r>
            <w:rPr>
              <w:sz w:val="24"/>
              <w:szCs w:val="24"/>
            </w:rPr>
            <w:fldChar w:fldCharType="end"/>
          </w:r>
          <w:r>
            <w:rPr>
              <w:sz w:val="24"/>
              <w:szCs w:val="24"/>
            </w:rPr>
            <w:fldChar w:fldCharType="end"/>
          </w:r>
        </w:p>
        <w:p w14:paraId="61A4D284">
          <w:pPr>
            <w:pStyle w:val="46"/>
            <w:tabs>
              <w:tab w:val="right" w:leader="dot" w:pos="9639"/>
            </w:tabs>
            <w:rPr>
              <w:sz w:val="24"/>
              <w:szCs w:val="24"/>
            </w:rPr>
          </w:pPr>
          <w:r>
            <w:rPr>
              <w:sz w:val="24"/>
              <w:szCs w:val="24"/>
            </w:rPr>
            <w:fldChar w:fldCharType="begin"/>
          </w:r>
          <w:r>
            <w:rPr>
              <w:sz w:val="24"/>
              <w:szCs w:val="24"/>
            </w:rPr>
            <w:instrText xml:space="preserve"> HYPERLINK \l _Toc9823 </w:instrText>
          </w:r>
          <w:r>
            <w:rPr>
              <w:sz w:val="24"/>
              <w:szCs w:val="24"/>
            </w:rPr>
            <w:fldChar w:fldCharType="separate"/>
          </w:r>
          <w:r>
            <w:rPr>
              <w:rFonts w:hint="eastAsia" w:ascii="方正楷体_GBK" w:hAnsi="方正楷体_GBK" w:eastAsia="方正楷体_GBK" w:cs="方正楷体_GBK"/>
              <w:sz w:val="24"/>
              <w:szCs w:val="24"/>
            </w:rPr>
            <w:t>（二）其它优惠承诺（格式自定）</w:t>
          </w:r>
          <w:r>
            <w:rPr>
              <w:sz w:val="24"/>
              <w:szCs w:val="24"/>
            </w:rPr>
            <w:tab/>
          </w:r>
          <w:r>
            <w:rPr>
              <w:sz w:val="24"/>
              <w:szCs w:val="24"/>
            </w:rPr>
            <w:fldChar w:fldCharType="begin"/>
          </w:r>
          <w:r>
            <w:rPr>
              <w:sz w:val="24"/>
              <w:szCs w:val="24"/>
            </w:rPr>
            <w:instrText xml:space="preserve"> PAGEREF _Toc9823 \h </w:instrText>
          </w:r>
          <w:r>
            <w:rPr>
              <w:sz w:val="24"/>
              <w:szCs w:val="24"/>
            </w:rPr>
            <w:fldChar w:fldCharType="separate"/>
          </w:r>
          <w:r>
            <w:rPr>
              <w:sz w:val="24"/>
              <w:szCs w:val="24"/>
            </w:rPr>
            <w:t>39</w:t>
          </w:r>
          <w:r>
            <w:rPr>
              <w:sz w:val="24"/>
              <w:szCs w:val="24"/>
            </w:rPr>
            <w:fldChar w:fldCharType="end"/>
          </w:r>
          <w:r>
            <w:rPr>
              <w:sz w:val="24"/>
              <w:szCs w:val="24"/>
            </w:rPr>
            <w:fldChar w:fldCharType="end"/>
          </w:r>
        </w:p>
        <w:p w14:paraId="38D8E9EC">
          <w:pPr>
            <w:pStyle w:val="38"/>
            <w:tabs>
              <w:tab w:val="right" w:leader="dot" w:pos="9639"/>
            </w:tabs>
            <w:rPr>
              <w:sz w:val="24"/>
              <w:szCs w:val="24"/>
            </w:rPr>
          </w:pPr>
          <w:r>
            <w:rPr>
              <w:sz w:val="24"/>
              <w:szCs w:val="24"/>
            </w:rPr>
            <w:fldChar w:fldCharType="begin"/>
          </w:r>
          <w:r>
            <w:rPr>
              <w:sz w:val="24"/>
              <w:szCs w:val="24"/>
            </w:rPr>
            <w:instrText xml:space="preserve"> HYPERLINK \l _Toc30756 </w:instrText>
          </w:r>
          <w:r>
            <w:rPr>
              <w:sz w:val="24"/>
              <w:szCs w:val="24"/>
            </w:rPr>
            <w:fldChar w:fldCharType="separate"/>
          </w:r>
          <w:r>
            <w:rPr>
              <w:rFonts w:hint="eastAsia" w:ascii="方正黑体_GBK" w:hAnsi="方正黑体_GBK" w:eastAsia="方正黑体_GBK" w:cs="方正黑体_GBK"/>
              <w:bCs/>
              <w:sz w:val="24"/>
              <w:szCs w:val="24"/>
            </w:rPr>
            <w:t>四、资格条件及其他</w:t>
          </w:r>
          <w:r>
            <w:rPr>
              <w:sz w:val="24"/>
              <w:szCs w:val="24"/>
            </w:rPr>
            <w:tab/>
          </w:r>
          <w:r>
            <w:rPr>
              <w:sz w:val="24"/>
              <w:szCs w:val="24"/>
            </w:rPr>
            <w:fldChar w:fldCharType="begin"/>
          </w:r>
          <w:r>
            <w:rPr>
              <w:sz w:val="24"/>
              <w:szCs w:val="24"/>
            </w:rPr>
            <w:instrText xml:space="preserve"> PAGEREF _Toc30756 \h </w:instrText>
          </w:r>
          <w:r>
            <w:rPr>
              <w:sz w:val="24"/>
              <w:szCs w:val="24"/>
            </w:rPr>
            <w:fldChar w:fldCharType="separate"/>
          </w:r>
          <w:r>
            <w:rPr>
              <w:sz w:val="24"/>
              <w:szCs w:val="24"/>
            </w:rPr>
            <w:t>40</w:t>
          </w:r>
          <w:r>
            <w:rPr>
              <w:sz w:val="24"/>
              <w:szCs w:val="24"/>
            </w:rPr>
            <w:fldChar w:fldCharType="end"/>
          </w:r>
          <w:r>
            <w:rPr>
              <w:sz w:val="24"/>
              <w:szCs w:val="24"/>
            </w:rPr>
            <w:fldChar w:fldCharType="end"/>
          </w:r>
        </w:p>
        <w:p w14:paraId="662B2EA3">
          <w:pPr>
            <w:pStyle w:val="38"/>
            <w:tabs>
              <w:tab w:val="right" w:leader="dot" w:pos="9639"/>
            </w:tabs>
            <w:rPr>
              <w:sz w:val="24"/>
              <w:szCs w:val="24"/>
            </w:rPr>
          </w:pPr>
          <w:r>
            <w:rPr>
              <w:sz w:val="24"/>
              <w:szCs w:val="24"/>
            </w:rPr>
            <w:fldChar w:fldCharType="begin"/>
          </w:r>
          <w:r>
            <w:rPr>
              <w:sz w:val="24"/>
              <w:szCs w:val="24"/>
            </w:rPr>
            <w:instrText xml:space="preserve"> HYPERLINK \l _Toc31874 </w:instrText>
          </w:r>
          <w:r>
            <w:rPr>
              <w:sz w:val="24"/>
              <w:szCs w:val="24"/>
            </w:rPr>
            <w:fldChar w:fldCharType="separate"/>
          </w:r>
          <w:r>
            <w:rPr>
              <w:rFonts w:hint="eastAsia" w:ascii="方正黑体_GBK" w:hAnsi="方正黑体_GBK" w:eastAsia="方正黑体_GBK" w:cs="方正黑体_GBK"/>
              <w:bCs/>
              <w:sz w:val="24"/>
              <w:szCs w:val="24"/>
            </w:rPr>
            <w:t>五、其他资料</w:t>
          </w:r>
          <w:r>
            <w:rPr>
              <w:sz w:val="24"/>
              <w:szCs w:val="24"/>
            </w:rPr>
            <w:tab/>
          </w:r>
          <w:r>
            <w:rPr>
              <w:sz w:val="24"/>
              <w:szCs w:val="24"/>
            </w:rPr>
            <w:fldChar w:fldCharType="begin"/>
          </w:r>
          <w:r>
            <w:rPr>
              <w:sz w:val="24"/>
              <w:szCs w:val="24"/>
            </w:rPr>
            <w:instrText xml:space="preserve"> PAGEREF _Toc31874 \h </w:instrText>
          </w:r>
          <w:r>
            <w:rPr>
              <w:sz w:val="24"/>
              <w:szCs w:val="24"/>
            </w:rPr>
            <w:fldChar w:fldCharType="separate"/>
          </w:r>
          <w:r>
            <w:rPr>
              <w:sz w:val="24"/>
              <w:szCs w:val="24"/>
            </w:rPr>
            <w:t>45</w:t>
          </w:r>
          <w:r>
            <w:rPr>
              <w:sz w:val="24"/>
              <w:szCs w:val="24"/>
            </w:rPr>
            <w:fldChar w:fldCharType="end"/>
          </w:r>
          <w:r>
            <w:rPr>
              <w:sz w:val="24"/>
              <w:szCs w:val="24"/>
            </w:rPr>
            <w:fldChar w:fldCharType="end"/>
          </w:r>
        </w:p>
        <w:p w14:paraId="01F36A98">
          <w:pPr>
            <w:pStyle w:val="46"/>
            <w:tabs>
              <w:tab w:val="right" w:leader="dot" w:pos="9639"/>
            </w:tabs>
            <w:rPr>
              <w:sz w:val="24"/>
              <w:szCs w:val="24"/>
            </w:rPr>
          </w:pPr>
          <w:r>
            <w:rPr>
              <w:sz w:val="24"/>
              <w:szCs w:val="24"/>
            </w:rPr>
            <w:fldChar w:fldCharType="begin"/>
          </w:r>
          <w:r>
            <w:rPr>
              <w:sz w:val="24"/>
              <w:szCs w:val="24"/>
            </w:rPr>
            <w:instrText xml:space="preserve"> HYPERLINK \l _Toc3541 </w:instrText>
          </w:r>
          <w:r>
            <w:rPr>
              <w:sz w:val="24"/>
              <w:szCs w:val="24"/>
            </w:rPr>
            <w:fldChar w:fldCharType="separate"/>
          </w:r>
          <w:r>
            <w:rPr>
              <w:rFonts w:hint="eastAsia" w:ascii="方正楷体_GBK" w:hAnsi="方正楷体_GBK" w:eastAsia="方正楷体_GBK" w:cs="方正楷体_GBK"/>
              <w:sz w:val="24"/>
              <w:szCs w:val="24"/>
            </w:rPr>
            <w:t>（一）中小企业声明函、监狱企业证明文件、残疾人福利性单位声明函</w:t>
          </w:r>
          <w:r>
            <w:rPr>
              <w:sz w:val="24"/>
              <w:szCs w:val="24"/>
            </w:rPr>
            <w:tab/>
          </w:r>
          <w:r>
            <w:rPr>
              <w:sz w:val="24"/>
              <w:szCs w:val="24"/>
            </w:rPr>
            <w:fldChar w:fldCharType="begin"/>
          </w:r>
          <w:r>
            <w:rPr>
              <w:sz w:val="24"/>
              <w:szCs w:val="24"/>
            </w:rPr>
            <w:instrText xml:space="preserve"> PAGEREF _Toc3541 \h </w:instrText>
          </w:r>
          <w:r>
            <w:rPr>
              <w:sz w:val="24"/>
              <w:szCs w:val="24"/>
            </w:rPr>
            <w:fldChar w:fldCharType="separate"/>
          </w:r>
          <w:r>
            <w:rPr>
              <w:sz w:val="24"/>
              <w:szCs w:val="24"/>
            </w:rPr>
            <w:t>45</w:t>
          </w:r>
          <w:r>
            <w:rPr>
              <w:sz w:val="24"/>
              <w:szCs w:val="24"/>
            </w:rPr>
            <w:fldChar w:fldCharType="end"/>
          </w:r>
          <w:r>
            <w:rPr>
              <w:sz w:val="24"/>
              <w:szCs w:val="24"/>
            </w:rPr>
            <w:fldChar w:fldCharType="end"/>
          </w:r>
        </w:p>
        <w:p w14:paraId="0B321BC3">
          <w:pPr>
            <w:pStyle w:val="30"/>
            <w:tabs>
              <w:tab w:val="right" w:leader="dot" w:pos="9639"/>
            </w:tabs>
            <w:rPr>
              <w:sz w:val="24"/>
              <w:szCs w:val="24"/>
            </w:rPr>
          </w:pPr>
          <w:r>
            <w:rPr>
              <w:sz w:val="24"/>
              <w:szCs w:val="24"/>
            </w:rPr>
            <w:fldChar w:fldCharType="begin"/>
          </w:r>
          <w:r>
            <w:rPr>
              <w:sz w:val="24"/>
              <w:szCs w:val="24"/>
            </w:rPr>
            <w:instrText xml:space="preserve"> HYPERLINK \l _Toc7240 </w:instrText>
          </w:r>
          <w:r>
            <w:rPr>
              <w:sz w:val="24"/>
              <w:szCs w:val="24"/>
            </w:rPr>
            <w:fldChar w:fldCharType="separate"/>
          </w:r>
          <w:r>
            <w:rPr>
              <w:rFonts w:hint="eastAsia" w:ascii="方正仿宋_GBK" w:hAnsi="方正仿宋_GBK" w:eastAsia="方正仿宋_GBK" w:cs="方正仿宋_GBK"/>
              <w:bCs/>
              <w:sz w:val="24"/>
              <w:szCs w:val="24"/>
            </w:rPr>
            <w:t>中小企业声明函</w:t>
          </w:r>
          <w:r>
            <w:rPr>
              <w:sz w:val="24"/>
              <w:szCs w:val="24"/>
            </w:rPr>
            <w:tab/>
          </w:r>
          <w:r>
            <w:rPr>
              <w:sz w:val="24"/>
              <w:szCs w:val="24"/>
            </w:rPr>
            <w:fldChar w:fldCharType="begin"/>
          </w:r>
          <w:r>
            <w:rPr>
              <w:sz w:val="24"/>
              <w:szCs w:val="24"/>
            </w:rPr>
            <w:instrText xml:space="preserve"> PAGEREF _Toc7240 \h </w:instrText>
          </w:r>
          <w:r>
            <w:rPr>
              <w:sz w:val="24"/>
              <w:szCs w:val="24"/>
            </w:rPr>
            <w:fldChar w:fldCharType="separate"/>
          </w:r>
          <w:r>
            <w:rPr>
              <w:sz w:val="24"/>
              <w:szCs w:val="24"/>
            </w:rPr>
            <w:t>45</w:t>
          </w:r>
          <w:r>
            <w:rPr>
              <w:sz w:val="24"/>
              <w:szCs w:val="24"/>
            </w:rPr>
            <w:fldChar w:fldCharType="end"/>
          </w:r>
          <w:r>
            <w:rPr>
              <w:sz w:val="24"/>
              <w:szCs w:val="24"/>
            </w:rPr>
            <w:fldChar w:fldCharType="end"/>
          </w:r>
        </w:p>
        <w:p w14:paraId="7F7D9FBE">
          <w:pPr>
            <w:pStyle w:val="30"/>
            <w:tabs>
              <w:tab w:val="right" w:leader="dot" w:pos="9639"/>
            </w:tabs>
          </w:pPr>
          <w:r>
            <w:rPr>
              <w:sz w:val="24"/>
              <w:szCs w:val="24"/>
            </w:rPr>
            <w:fldChar w:fldCharType="begin"/>
          </w:r>
          <w:r>
            <w:rPr>
              <w:sz w:val="24"/>
              <w:szCs w:val="24"/>
            </w:rPr>
            <w:instrText xml:space="preserve"> HYPERLINK \l _Toc4248 </w:instrText>
          </w:r>
          <w:r>
            <w:rPr>
              <w:sz w:val="24"/>
              <w:szCs w:val="24"/>
            </w:rPr>
            <w:fldChar w:fldCharType="separate"/>
          </w:r>
          <w:r>
            <w:rPr>
              <w:rFonts w:hint="eastAsia" w:ascii="方正仿宋_GBK" w:hAnsi="方正仿宋_GBK" w:eastAsia="方正仿宋_GBK" w:cs="方正仿宋_GBK"/>
              <w:bCs/>
              <w:sz w:val="24"/>
              <w:szCs w:val="24"/>
            </w:rPr>
            <w:t>残疾人福利性单位声明函</w:t>
          </w:r>
          <w:r>
            <w:rPr>
              <w:sz w:val="24"/>
              <w:szCs w:val="24"/>
            </w:rPr>
            <w:tab/>
          </w:r>
          <w:r>
            <w:rPr>
              <w:sz w:val="24"/>
              <w:szCs w:val="24"/>
            </w:rPr>
            <w:fldChar w:fldCharType="begin"/>
          </w:r>
          <w:r>
            <w:rPr>
              <w:sz w:val="24"/>
              <w:szCs w:val="24"/>
            </w:rPr>
            <w:instrText xml:space="preserve"> PAGEREF _Toc4248 \h </w:instrText>
          </w:r>
          <w:r>
            <w:rPr>
              <w:sz w:val="24"/>
              <w:szCs w:val="24"/>
            </w:rPr>
            <w:fldChar w:fldCharType="separate"/>
          </w:r>
          <w:r>
            <w:rPr>
              <w:sz w:val="24"/>
              <w:szCs w:val="24"/>
            </w:rPr>
            <w:t>51</w:t>
          </w:r>
          <w:r>
            <w:rPr>
              <w:sz w:val="24"/>
              <w:szCs w:val="24"/>
            </w:rPr>
            <w:fldChar w:fldCharType="end"/>
          </w:r>
          <w:r>
            <w:rPr>
              <w:sz w:val="24"/>
              <w:szCs w:val="24"/>
            </w:rPr>
            <w:fldChar w:fldCharType="end"/>
          </w:r>
        </w:p>
        <w:p w14:paraId="15D5B8F3">
          <w:r>
            <w:fldChar w:fldCharType="end"/>
          </w:r>
        </w:p>
      </w:sdtContent>
    </w:sdt>
    <w:p w14:paraId="3745653D">
      <w:pPr>
        <w:pStyle w:val="2"/>
        <w:spacing w:line="360" w:lineRule="auto"/>
        <w:outlineLvl w:val="9"/>
        <w:rPr>
          <w:rFonts w:hint="eastAsia" w:ascii="仿宋" w:hAnsi="仿宋" w:eastAsia="仿宋" w:cs="仿宋"/>
          <w:b w:val="0"/>
          <w:bCs w:val="0"/>
          <w:color w:val="auto"/>
          <w:kern w:val="2"/>
          <w:sz w:val="24"/>
          <w:szCs w:val="24"/>
          <w:lang w:val="en-US" w:eastAsia="zh-CN" w:bidi="ar-SA"/>
        </w:rPr>
      </w:pPr>
      <w:bookmarkStart w:id="6" w:name="_Toc224805682"/>
      <w:r>
        <w:rPr>
          <w:rFonts w:hint="eastAsia" w:ascii="宋体" w:hAnsi="宋体" w:eastAsia="宋体" w:cs="宋体"/>
          <w:lang w:val="en-US" w:eastAsia="zh-CN"/>
        </w:rPr>
        <w:t>第一篇 遴选邀请书</w:t>
      </w:r>
      <w:bookmarkEnd w:id="5"/>
      <w:bookmarkEnd w:id="6"/>
    </w:p>
    <w:p w14:paraId="3DB8C4F5">
      <w:pPr>
        <w:pStyle w:val="35"/>
        <w:ind w:firstLine="480" w:firstLineChars="200"/>
        <w:rPr>
          <w:rFonts w:hint="eastAsia" w:ascii="方正仿宋_GBK" w:hAnsi="方正仿宋_GBK" w:eastAsia="方正仿宋_GBK" w:cs="方正仿宋_GBK"/>
          <w:sz w:val="32"/>
          <w:szCs w:val="32"/>
          <w:lang w:val="en-US" w:eastAsia="zh-CN" w:bidi="ar-SA"/>
        </w:rPr>
      </w:pPr>
      <w:r>
        <w:rPr>
          <w:rFonts w:hint="eastAsia" w:ascii="仿宋" w:hAnsi="仿宋" w:eastAsia="仿宋" w:cs="仿宋"/>
          <w:b w:val="0"/>
          <w:bCs w:val="0"/>
          <w:color w:val="auto"/>
          <w:kern w:val="2"/>
          <w:sz w:val="24"/>
          <w:szCs w:val="24"/>
          <w:lang w:val="en-US" w:eastAsia="zh-CN" w:bidi="ar-SA"/>
        </w:rPr>
        <w:t>重庆市科成工程建设监理有限公司（以下简称“代理机构”）受重庆市黔江中心医院的委托，对重庆市黔江中心医院消防维保服务项目进行采购，欢迎有资格、有实力的投标人参加院内遴选。</w:t>
      </w:r>
    </w:p>
    <w:p w14:paraId="68ACA79D">
      <w:pPr>
        <w:pStyle w:val="3"/>
        <w:spacing w:line="594" w:lineRule="exact"/>
        <w:ind w:firstLine="640" w:firstLineChars="200"/>
        <w:outlineLvl w:val="0"/>
        <w:rPr>
          <w:rFonts w:ascii="方正黑体_GBK" w:hAnsi="方正黑体_GBK" w:eastAsia="方正黑体_GBK" w:cs="方正黑体_GBK"/>
          <w:bCs w:val="0"/>
          <w:kern w:val="0"/>
          <w:sz w:val="32"/>
        </w:rPr>
      </w:pPr>
      <w:bookmarkStart w:id="7" w:name="_Toc224805683"/>
      <w:bookmarkStart w:id="8" w:name="_Toc4179"/>
      <w:r>
        <w:rPr>
          <w:rFonts w:hint="eastAsia" w:ascii="方正黑体_GBK" w:hAnsi="方正黑体_GBK" w:eastAsia="方正黑体_GBK" w:cs="方正黑体_GBK"/>
          <w:bCs w:val="0"/>
          <w:kern w:val="0"/>
          <w:sz w:val="32"/>
        </w:rPr>
        <w:t>一、项目内容</w:t>
      </w:r>
      <w:bookmarkEnd w:id="7"/>
      <w:bookmarkEnd w:id="8"/>
    </w:p>
    <w:tbl>
      <w:tblPr>
        <w:tblStyle w:val="57"/>
        <w:tblpPr w:leftFromText="180" w:rightFromText="180" w:vertAnchor="text" w:tblpXSpec="center" w:tblpY="1"/>
        <w:tblOverlap w:val="never"/>
        <w:tblW w:w="96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13"/>
        <w:gridCol w:w="1890"/>
        <w:gridCol w:w="1485"/>
        <w:gridCol w:w="1558"/>
        <w:gridCol w:w="1558"/>
      </w:tblGrid>
      <w:tr w14:paraId="14365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3113" w:type="dxa"/>
            <w:vAlign w:val="center"/>
          </w:tcPr>
          <w:p w14:paraId="56D3E6EB">
            <w:pPr>
              <w:spacing w:line="360" w:lineRule="auto"/>
              <w:jc w:val="center"/>
              <w:rPr>
                <w:rFonts w:hAnsi="宋体" w:cs="宋体"/>
                <w:b/>
                <w:bCs/>
                <w:sz w:val="24"/>
                <w:szCs w:val="24"/>
              </w:rPr>
            </w:pPr>
            <w:r>
              <w:rPr>
                <w:rFonts w:hint="eastAsia" w:hAnsi="宋体" w:cs="宋体"/>
                <w:b/>
                <w:bCs/>
                <w:sz w:val="24"/>
                <w:szCs w:val="24"/>
              </w:rPr>
              <w:t>项目名称</w:t>
            </w:r>
          </w:p>
        </w:tc>
        <w:tc>
          <w:tcPr>
            <w:tcW w:w="1890" w:type="dxa"/>
          </w:tcPr>
          <w:p w14:paraId="0D4D3D41">
            <w:pPr>
              <w:jc w:val="center"/>
              <w:rPr>
                <w:rFonts w:hAnsi="宋体" w:cs="宋体"/>
                <w:b/>
                <w:bCs/>
                <w:sz w:val="24"/>
                <w:szCs w:val="24"/>
              </w:rPr>
            </w:pPr>
            <w:r>
              <w:rPr>
                <w:rFonts w:hint="eastAsia" w:hAnsi="宋体" w:cs="宋体"/>
                <w:b/>
                <w:bCs/>
                <w:sz w:val="24"/>
                <w:szCs w:val="24"/>
              </w:rPr>
              <w:t>投标人数量（名）</w:t>
            </w:r>
          </w:p>
        </w:tc>
        <w:tc>
          <w:tcPr>
            <w:tcW w:w="1485" w:type="dxa"/>
            <w:vAlign w:val="center"/>
          </w:tcPr>
          <w:p w14:paraId="644A5149">
            <w:pPr>
              <w:jc w:val="center"/>
              <w:rPr>
                <w:rFonts w:hAnsi="宋体" w:cs="宋体"/>
                <w:b/>
                <w:bCs/>
                <w:sz w:val="24"/>
                <w:szCs w:val="24"/>
              </w:rPr>
            </w:pPr>
            <w:r>
              <w:rPr>
                <w:rFonts w:hint="eastAsia" w:hAnsi="宋体" w:cs="宋体"/>
                <w:b/>
                <w:bCs/>
                <w:sz w:val="24"/>
                <w:szCs w:val="24"/>
              </w:rPr>
              <w:t>最</w:t>
            </w:r>
            <w:r>
              <w:rPr>
                <w:rFonts w:hint="eastAsia" w:hAnsi="宋体" w:cs="宋体"/>
                <w:b/>
                <w:bCs/>
                <w:sz w:val="24"/>
                <w:szCs w:val="24"/>
                <w:lang w:val="en-US" w:eastAsia="zh-CN"/>
              </w:rPr>
              <w:t>高</w:t>
            </w:r>
            <w:r>
              <w:rPr>
                <w:rFonts w:hint="eastAsia" w:hAnsi="宋体" w:cs="宋体"/>
                <w:b/>
                <w:bCs/>
                <w:sz w:val="24"/>
                <w:szCs w:val="24"/>
              </w:rPr>
              <w:t>限价</w:t>
            </w:r>
          </w:p>
          <w:p w14:paraId="20355234">
            <w:pPr>
              <w:jc w:val="center"/>
              <w:rPr>
                <w:rFonts w:hAnsi="宋体" w:cs="宋体"/>
                <w:b/>
                <w:bCs/>
                <w:sz w:val="24"/>
                <w:szCs w:val="24"/>
              </w:rPr>
            </w:pPr>
            <w:r>
              <w:rPr>
                <w:rFonts w:hint="eastAsia" w:hAnsi="宋体" w:cs="宋体"/>
                <w:b/>
                <w:bCs/>
                <w:sz w:val="24"/>
                <w:szCs w:val="24"/>
              </w:rPr>
              <w:t>（万元）</w:t>
            </w:r>
          </w:p>
        </w:tc>
        <w:tc>
          <w:tcPr>
            <w:tcW w:w="1558" w:type="dxa"/>
            <w:vAlign w:val="center"/>
          </w:tcPr>
          <w:p w14:paraId="619FE509">
            <w:pPr>
              <w:jc w:val="center"/>
              <w:rPr>
                <w:rFonts w:hint="default" w:hAnsi="宋体" w:eastAsia="宋体" w:cs="宋体"/>
                <w:b/>
                <w:bCs/>
                <w:sz w:val="24"/>
                <w:szCs w:val="24"/>
                <w:lang w:val="en-US" w:eastAsia="zh-CN"/>
              </w:rPr>
            </w:pPr>
            <w:r>
              <w:rPr>
                <w:rFonts w:hint="eastAsia" w:hAnsi="宋体" w:cs="宋体"/>
                <w:b/>
                <w:bCs/>
                <w:sz w:val="24"/>
                <w:szCs w:val="24"/>
                <w:lang w:val="en-US" w:eastAsia="zh-CN"/>
              </w:rPr>
              <w:t>服务期限（年）</w:t>
            </w:r>
          </w:p>
        </w:tc>
        <w:tc>
          <w:tcPr>
            <w:tcW w:w="1558" w:type="dxa"/>
            <w:vAlign w:val="center"/>
          </w:tcPr>
          <w:p w14:paraId="4FE7E00A">
            <w:pPr>
              <w:spacing w:line="360" w:lineRule="auto"/>
              <w:jc w:val="center"/>
              <w:rPr>
                <w:rFonts w:hint="eastAsia" w:hAnsi="宋体" w:cs="宋体"/>
                <w:b/>
                <w:bCs/>
                <w:sz w:val="24"/>
                <w:szCs w:val="24"/>
              </w:rPr>
            </w:pPr>
            <w:r>
              <w:rPr>
                <w:rFonts w:hint="eastAsia" w:hAnsi="宋体" w:cs="宋体"/>
                <w:b/>
                <w:bCs/>
                <w:sz w:val="24"/>
                <w:szCs w:val="24"/>
              </w:rPr>
              <w:t>备注</w:t>
            </w:r>
          </w:p>
        </w:tc>
      </w:tr>
      <w:tr w14:paraId="4605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3113" w:type="dxa"/>
            <w:vAlign w:val="center"/>
          </w:tcPr>
          <w:p w14:paraId="28E8D694">
            <w:pPr>
              <w:snapToGrid w:val="0"/>
              <w:spacing w:line="360" w:lineRule="auto"/>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重庆市黔江中心医院</w:t>
            </w:r>
            <w:r>
              <w:rPr>
                <w:rFonts w:hint="eastAsia" w:ascii="仿宋" w:hAnsi="仿宋" w:eastAsia="仿宋" w:cs="仿宋"/>
                <w:color w:val="auto"/>
                <w:kern w:val="2"/>
                <w:sz w:val="24"/>
                <w:szCs w:val="24"/>
                <w:lang w:val="en-US" w:eastAsia="zh-CN"/>
              </w:rPr>
              <w:t>消防维保</w:t>
            </w:r>
            <w:r>
              <w:rPr>
                <w:rFonts w:hint="eastAsia" w:ascii="仿宋" w:hAnsi="仿宋" w:eastAsia="仿宋" w:cs="仿宋"/>
                <w:color w:val="auto"/>
                <w:kern w:val="2"/>
                <w:sz w:val="24"/>
                <w:szCs w:val="24"/>
              </w:rPr>
              <w:t>服务</w:t>
            </w:r>
          </w:p>
        </w:tc>
        <w:tc>
          <w:tcPr>
            <w:tcW w:w="1890" w:type="dxa"/>
            <w:vAlign w:val="center"/>
          </w:tcPr>
          <w:p w14:paraId="221388EC">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w:t>
            </w:r>
          </w:p>
        </w:tc>
        <w:tc>
          <w:tcPr>
            <w:tcW w:w="1485" w:type="dxa"/>
            <w:vAlign w:val="center"/>
          </w:tcPr>
          <w:p w14:paraId="42D06832">
            <w:pPr>
              <w:snapToGrid w:val="0"/>
              <w:spacing w:line="360" w:lineRule="auto"/>
              <w:ind w:firstLine="480" w:firstLineChars="200"/>
              <w:jc w:val="both"/>
              <w:rPr>
                <w:rFonts w:hint="default"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45</w:t>
            </w:r>
          </w:p>
        </w:tc>
        <w:tc>
          <w:tcPr>
            <w:tcW w:w="1558" w:type="dxa"/>
            <w:vAlign w:val="center"/>
          </w:tcPr>
          <w:p w14:paraId="0561E369">
            <w:pPr>
              <w:snapToGrid w:val="0"/>
              <w:spacing w:line="360" w:lineRule="auto"/>
              <w:ind w:firstLine="480" w:firstLineChars="200"/>
              <w:jc w:val="both"/>
              <w:rPr>
                <w:rFonts w:hint="eastAsia" w:ascii="仿宋" w:hAnsi="仿宋" w:eastAsia="仿宋" w:cs="仿宋"/>
                <w:color w:val="auto"/>
                <w:kern w:val="2"/>
                <w:sz w:val="24"/>
                <w:szCs w:val="24"/>
                <w:lang w:val="en-US" w:eastAsia="zh-CN"/>
              </w:rPr>
            </w:pPr>
            <w:bookmarkStart w:id="405" w:name="_GoBack"/>
            <w:bookmarkEnd w:id="405"/>
            <w:r>
              <w:rPr>
                <w:rFonts w:hint="eastAsia" w:ascii="仿宋" w:hAnsi="仿宋" w:eastAsia="仿宋" w:cs="仿宋"/>
                <w:color w:val="auto"/>
                <w:kern w:val="2"/>
                <w:sz w:val="24"/>
                <w:szCs w:val="24"/>
                <w:lang w:val="en-US" w:eastAsia="zh-CN"/>
              </w:rPr>
              <w:t>3</w:t>
            </w:r>
          </w:p>
        </w:tc>
        <w:tc>
          <w:tcPr>
            <w:tcW w:w="1558" w:type="dxa"/>
            <w:vAlign w:val="center"/>
          </w:tcPr>
          <w:p w14:paraId="12658FFF">
            <w:pPr>
              <w:snapToGrid w:val="0"/>
              <w:spacing w:line="360" w:lineRule="auto"/>
              <w:ind w:firstLine="480" w:firstLineChars="200"/>
              <w:rPr>
                <w:rFonts w:hint="eastAsia" w:ascii="仿宋" w:hAnsi="仿宋" w:eastAsia="仿宋" w:cs="仿宋"/>
                <w:color w:val="auto"/>
                <w:kern w:val="2"/>
                <w:sz w:val="24"/>
                <w:szCs w:val="24"/>
              </w:rPr>
            </w:pPr>
          </w:p>
        </w:tc>
      </w:tr>
    </w:tbl>
    <w:p w14:paraId="72B47E64">
      <w:pPr>
        <w:pStyle w:val="3"/>
        <w:numPr>
          <w:ilvl w:val="0"/>
          <w:numId w:val="16"/>
        </w:numPr>
        <w:spacing w:line="560" w:lineRule="exact"/>
        <w:ind w:firstLine="640" w:firstLineChars="200"/>
        <w:outlineLvl w:val="0"/>
        <w:rPr>
          <w:rFonts w:ascii="方正黑体_GBK" w:hAnsi="方正仿宋_GBK" w:eastAsia="方正黑体_GBK" w:cs="方正仿宋_GBK"/>
          <w:bCs w:val="0"/>
          <w:kern w:val="0"/>
          <w:sz w:val="32"/>
        </w:rPr>
      </w:pPr>
      <w:bookmarkStart w:id="9" w:name="_Toc31790"/>
      <w:bookmarkStart w:id="10" w:name="_Toc224805684"/>
      <w:r>
        <w:rPr>
          <w:rFonts w:hint="eastAsia" w:ascii="方正黑体_GBK" w:hAnsi="方正仿宋_GBK" w:eastAsia="方正黑体_GBK" w:cs="方正仿宋_GBK"/>
          <w:bCs w:val="0"/>
          <w:kern w:val="0"/>
          <w:sz w:val="32"/>
        </w:rPr>
        <w:t>资金来源</w:t>
      </w:r>
      <w:bookmarkEnd w:id="9"/>
      <w:bookmarkEnd w:id="10"/>
    </w:p>
    <w:p w14:paraId="0133D9BD">
      <w:pPr>
        <w:numPr>
          <w:ilvl w:val="255"/>
          <w:numId w:val="0"/>
        </w:numPr>
        <w:spacing w:line="560" w:lineRule="exact"/>
        <w:rPr>
          <w:rFonts w:hint="eastAsia" w:ascii="仿宋" w:hAnsi="仿宋" w:eastAsia="仿宋" w:cs="仿宋"/>
          <w:color w:val="auto"/>
          <w:kern w:val="2"/>
          <w:sz w:val="24"/>
          <w:szCs w:val="24"/>
        </w:rPr>
      </w:pPr>
      <w:r>
        <w:rPr>
          <w:rFonts w:hint="eastAsia" w:ascii="方正仿宋_GBK" w:hAnsi="方正仿宋_GBK" w:eastAsia="方正仿宋_GBK" w:cs="方正仿宋_GBK"/>
          <w:sz w:val="32"/>
          <w:szCs w:val="32"/>
        </w:rPr>
        <w:t xml:space="preserve">      </w:t>
      </w:r>
      <w:r>
        <w:rPr>
          <w:rFonts w:hint="eastAsia" w:ascii="仿宋" w:hAnsi="仿宋" w:eastAsia="仿宋" w:cs="仿宋"/>
          <w:color w:val="auto"/>
          <w:kern w:val="2"/>
          <w:sz w:val="24"/>
          <w:szCs w:val="24"/>
        </w:rPr>
        <w:t xml:space="preserve"> 自筹资金。</w:t>
      </w:r>
    </w:p>
    <w:p w14:paraId="3ECE2F13">
      <w:pPr>
        <w:pStyle w:val="3"/>
        <w:spacing w:line="560" w:lineRule="exact"/>
        <w:ind w:firstLine="640" w:firstLineChars="200"/>
        <w:outlineLvl w:val="0"/>
        <w:rPr>
          <w:rFonts w:ascii="方正黑体_GBK" w:hAnsi="方正仿宋_GBK" w:eastAsia="方正黑体_GBK" w:cs="方正仿宋_GBK"/>
          <w:bCs w:val="0"/>
          <w:kern w:val="0"/>
          <w:sz w:val="32"/>
        </w:rPr>
      </w:pPr>
      <w:bookmarkStart w:id="11" w:name="_Toc224805685"/>
      <w:bookmarkStart w:id="12" w:name="_Toc19063"/>
      <w:r>
        <w:rPr>
          <w:rFonts w:hint="eastAsia" w:ascii="方正黑体_GBK" w:hAnsi="方正仿宋_GBK" w:eastAsia="方正黑体_GBK" w:cs="方正仿宋_GBK"/>
          <w:bCs w:val="0"/>
          <w:kern w:val="0"/>
          <w:sz w:val="32"/>
        </w:rPr>
        <w:t>三、采购方式：院内遴选</w:t>
      </w:r>
      <w:bookmarkEnd w:id="11"/>
      <w:bookmarkEnd w:id="12"/>
    </w:p>
    <w:p w14:paraId="6BAA8CE2">
      <w:pPr>
        <w:pStyle w:val="3"/>
        <w:spacing w:line="560" w:lineRule="exact"/>
        <w:ind w:firstLine="640" w:firstLineChars="200"/>
        <w:outlineLvl w:val="0"/>
        <w:rPr>
          <w:rFonts w:ascii="方正黑体_GBK" w:hAnsi="方正仿宋_GBK" w:eastAsia="方正黑体_GBK" w:cs="方正仿宋_GBK"/>
          <w:bCs w:val="0"/>
          <w:kern w:val="0"/>
          <w:sz w:val="32"/>
        </w:rPr>
      </w:pPr>
      <w:bookmarkStart w:id="13" w:name="_Toc13955"/>
      <w:bookmarkStart w:id="14" w:name="_Toc224805686"/>
      <w:r>
        <w:rPr>
          <w:rFonts w:hint="eastAsia" w:ascii="方正黑体_GBK" w:hAnsi="方正仿宋_GBK" w:eastAsia="方正黑体_GBK" w:cs="方正仿宋_GBK"/>
          <w:bCs w:val="0"/>
          <w:kern w:val="0"/>
          <w:sz w:val="32"/>
        </w:rPr>
        <w:t>四、投标人资格要求</w:t>
      </w:r>
      <w:bookmarkEnd w:id="13"/>
      <w:bookmarkEnd w:id="14"/>
    </w:p>
    <w:p w14:paraId="1A77E831">
      <w:pPr>
        <w:snapToGrid w:val="0"/>
        <w:spacing w:line="360" w:lineRule="auto"/>
        <w:ind w:firstLine="480" w:firstLineChars="200"/>
        <w:outlineLvl w:val="1"/>
        <w:rPr>
          <w:rFonts w:hint="eastAsia" w:ascii="仿宋" w:hAnsi="仿宋" w:eastAsia="仿宋" w:cs="仿宋"/>
          <w:color w:val="auto"/>
          <w:kern w:val="2"/>
          <w:sz w:val="24"/>
          <w:szCs w:val="24"/>
        </w:rPr>
      </w:pPr>
      <w:bookmarkStart w:id="15" w:name="_Toc2137"/>
      <w:r>
        <w:rPr>
          <w:rFonts w:hint="eastAsia" w:ascii="仿宋" w:hAnsi="仿宋" w:eastAsia="仿宋" w:cs="仿宋"/>
          <w:color w:val="auto"/>
          <w:kern w:val="2"/>
          <w:sz w:val="24"/>
          <w:szCs w:val="24"/>
        </w:rPr>
        <w:t>（一）满足《中华人民共和国政府采购法》第二十二条规定。</w:t>
      </w:r>
      <w:bookmarkEnd w:id="15"/>
    </w:p>
    <w:p w14:paraId="1F53E338">
      <w:pPr>
        <w:snapToGrid w:val="0"/>
        <w:spacing w:line="360" w:lineRule="auto"/>
        <w:ind w:firstLine="480" w:firstLineChars="200"/>
        <w:outlineLvl w:val="1"/>
        <w:rPr>
          <w:rFonts w:hint="eastAsia" w:ascii="仿宋" w:hAnsi="仿宋" w:eastAsia="仿宋" w:cs="仿宋"/>
          <w:color w:val="auto"/>
          <w:kern w:val="2"/>
          <w:sz w:val="24"/>
          <w:szCs w:val="24"/>
        </w:rPr>
      </w:pPr>
      <w:bookmarkStart w:id="16" w:name="_Toc16597"/>
      <w:r>
        <w:rPr>
          <w:rFonts w:hint="eastAsia" w:ascii="仿宋" w:hAnsi="仿宋" w:eastAsia="仿宋" w:cs="仿宋"/>
          <w:color w:val="auto"/>
          <w:kern w:val="2"/>
          <w:sz w:val="24"/>
          <w:szCs w:val="24"/>
        </w:rPr>
        <w:t>（二）落实政府采购政策需满足的资格要求：无。</w:t>
      </w:r>
      <w:bookmarkEnd w:id="16"/>
    </w:p>
    <w:p w14:paraId="50DFB95D">
      <w:pPr>
        <w:snapToGrid w:val="0"/>
        <w:spacing w:line="360" w:lineRule="auto"/>
        <w:ind w:firstLine="480" w:firstLineChars="200"/>
        <w:outlineLvl w:val="1"/>
        <w:rPr>
          <w:rFonts w:hint="eastAsia" w:ascii="仿宋" w:hAnsi="仿宋" w:eastAsia="仿宋" w:cs="仿宋"/>
          <w:color w:val="auto"/>
          <w:kern w:val="2"/>
          <w:sz w:val="24"/>
          <w:szCs w:val="24"/>
        </w:rPr>
      </w:pPr>
      <w:bookmarkStart w:id="17" w:name="_Toc32149"/>
      <w:r>
        <w:rPr>
          <w:rFonts w:hint="eastAsia" w:ascii="仿宋" w:hAnsi="仿宋" w:eastAsia="仿宋" w:cs="仿宋"/>
          <w:color w:val="auto"/>
          <w:kern w:val="2"/>
          <w:sz w:val="24"/>
          <w:szCs w:val="24"/>
        </w:rPr>
        <w:t>（三）本项目的特定资格要求：</w:t>
      </w:r>
      <w:bookmarkEnd w:id="17"/>
    </w:p>
    <w:p w14:paraId="3F96B74A">
      <w:pPr>
        <w:snapToGrid w:val="0"/>
        <w:spacing w:line="360" w:lineRule="auto"/>
        <w:ind w:firstLine="480" w:firstLineChars="200"/>
        <w:rPr>
          <w:rFonts w:hint="eastAsia" w:ascii="仿宋" w:hAnsi="仿宋" w:eastAsia="仿宋" w:cs="仿宋"/>
          <w:color w:val="auto"/>
          <w:kern w:val="2"/>
          <w:sz w:val="24"/>
          <w:szCs w:val="24"/>
          <w:lang w:val="en-US" w:eastAsia="zh-CN"/>
        </w:rPr>
      </w:pPr>
      <w:bookmarkStart w:id="18" w:name="_Toc224805687"/>
      <w:r>
        <w:rPr>
          <w:rFonts w:hint="eastAsia" w:ascii="仿宋" w:hAnsi="仿宋" w:eastAsia="仿宋" w:cs="仿宋"/>
          <w:color w:val="auto"/>
          <w:kern w:val="2"/>
          <w:sz w:val="24"/>
          <w:szCs w:val="24"/>
          <w:lang w:val="en-US" w:eastAsia="zh-CN"/>
        </w:rPr>
        <w:t>1.投标人必须为《社会消防技术服务管理规定》文件要求的消防设施维护保养检测单位。在“社会消防技术服务信息系统”(网址: https://shhxf.119.gov.cn/templet/index_7.jsp) 或“重庆市消防技术服务管理系统”(网址http://jsfw.cql19.gov.cn/)进行备案登记。(投标人提供在上述两个系统中任意一个的查询结果截图并加盖供应商公章)。</w:t>
      </w:r>
    </w:p>
    <w:p w14:paraId="0931D589">
      <w:pPr>
        <w:snapToGrid w:val="0"/>
        <w:spacing w:line="360" w:lineRule="auto"/>
        <w:ind w:firstLine="480" w:firstLineChars="200"/>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 xml:space="preserve">2.投标人必须在重庆市黔江区注册或承诺在重庆市黔江区设置办事处（提供注册证明或承诺函，中标后、入场前进行现场场地确认）。 </w:t>
      </w:r>
    </w:p>
    <w:p w14:paraId="10293F96">
      <w:pPr>
        <w:pStyle w:val="3"/>
        <w:spacing w:line="560" w:lineRule="exact"/>
        <w:ind w:firstLine="640" w:firstLineChars="200"/>
        <w:outlineLvl w:val="0"/>
        <w:rPr>
          <w:rFonts w:ascii="方正黑体_GBK" w:hAnsi="方正仿宋_GBK" w:eastAsia="方正黑体_GBK" w:cs="方正仿宋_GBK"/>
          <w:bCs w:val="0"/>
          <w:kern w:val="0"/>
          <w:sz w:val="32"/>
        </w:rPr>
      </w:pPr>
      <w:bookmarkStart w:id="19" w:name="_Toc1063"/>
      <w:r>
        <w:rPr>
          <w:rFonts w:hint="eastAsia" w:ascii="方正黑体_GBK" w:hAnsi="方正仿宋_GBK" w:eastAsia="方正黑体_GBK" w:cs="方正仿宋_GBK"/>
          <w:bCs w:val="0"/>
          <w:kern w:val="0"/>
          <w:sz w:val="32"/>
        </w:rPr>
        <w:t>五、遴选文件获取及遴选时间要求</w:t>
      </w:r>
      <w:bookmarkEnd w:id="18"/>
      <w:bookmarkEnd w:id="19"/>
    </w:p>
    <w:p w14:paraId="50C3F55E">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（一）凡愿意参加遴选的投标人，请自行在重庆市黔江中心医院官网（https://www.qjzxyy.cn/）下载遴选文件，遴选文件及补遗等遴选前公布的所有项目资料，无论投标人下载与否，均视为已知晓所有招标内容。</w:t>
      </w:r>
    </w:p>
    <w:p w14:paraId="7760B99C">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（二）投标人应当按照遴选文件的要求编制响应文件，并对遴选文件提出的要求和条件作出实质性响应，响应文件须采用软面胶装（不得采用穿孔式、文件夹式活页装订），同时应编制完整的封面、页码、目录。</w:t>
      </w:r>
    </w:p>
    <w:p w14:paraId="62ED2A58">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（三）投标书正本</w:t>
      </w:r>
      <w:r>
        <w:rPr>
          <w:rFonts w:hint="eastAsia" w:ascii="仿宋" w:hAnsi="仿宋" w:eastAsia="仿宋" w:cs="仿宋"/>
          <w:color w:val="auto"/>
          <w:kern w:val="2"/>
          <w:sz w:val="24"/>
          <w:szCs w:val="24"/>
          <w:lang w:val="en-US" w:eastAsia="zh-CN"/>
        </w:rPr>
        <w:t>一份</w:t>
      </w:r>
      <w:r>
        <w:rPr>
          <w:rFonts w:hint="eastAsia" w:ascii="仿宋" w:hAnsi="仿宋" w:eastAsia="仿宋" w:cs="仿宋"/>
          <w:color w:val="auto"/>
          <w:kern w:val="2"/>
          <w:sz w:val="24"/>
          <w:szCs w:val="24"/>
        </w:rPr>
        <w:t>、副本</w:t>
      </w:r>
      <w:r>
        <w:rPr>
          <w:rFonts w:hint="eastAsia" w:ascii="仿宋" w:hAnsi="仿宋" w:eastAsia="仿宋" w:cs="仿宋"/>
          <w:color w:val="auto"/>
          <w:kern w:val="2"/>
          <w:sz w:val="24"/>
          <w:szCs w:val="24"/>
          <w:lang w:val="en-US" w:eastAsia="zh-CN"/>
        </w:rPr>
        <w:t>一</w:t>
      </w:r>
      <w:r>
        <w:rPr>
          <w:rFonts w:hint="eastAsia" w:ascii="仿宋" w:hAnsi="仿宋" w:eastAsia="仿宋" w:cs="仿宋"/>
          <w:color w:val="auto"/>
          <w:kern w:val="2"/>
          <w:sz w:val="24"/>
          <w:szCs w:val="24"/>
        </w:rPr>
        <w:t>份</w:t>
      </w:r>
      <w:r>
        <w:rPr>
          <w:rFonts w:hint="eastAsia" w:ascii="仿宋" w:hAnsi="仿宋" w:eastAsia="仿宋" w:cs="仿宋"/>
          <w:color w:val="auto"/>
          <w:kern w:val="2"/>
          <w:sz w:val="24"/>
          <w:szCs w:val="24"/>
          <w:lang w:eastAsia="zh-CN"/>
        </w:rPr>
        <w:t>、</w:t>
      </w:r>
      <w:r>
        <w:rPr>
          <w:rFonts w:hint="eastAsia" w:ascii="仿宋" w:hAnsi="仿宋" w:eastAsia="仿宋" w:cs="仿宋"/>
          <w:color w:val="auto"/>
          <w:kern w:val="2"/>
          <w:sz w:val="24"/>
          <w:szCs w:val="24"/>
          <w:lang w:val="en-US" w:eastAsia="zh-CN"/>
        </w:rPr>
        <w:t>电子档一份</w:t>
      </w:r>
      <w:r>
        <w:rPr>
          <w:rFonts w:hint="eastAsia" w:ascii="仿宋" w:hAnsi="仿宋" w:eastAsia="仿宋" w:cs="仿宋"/>
          <w:color w:val="auto"/>
          <w:kern w:val="2"/>
          <w:sz w:val="24"/>
          <w:szCs w:val="24"/>
        </w:rPr>
        <w:t>，均需有法定代表人（或法人代表）签章和单位盖章，响应文件的正本、副本</w:t>
      </w:r>
      <w:r>
        <w:rPr>
          <w:rFonts w:hint="eastAsia" w:ascii="仿宋" w:hAnsi="仿宋" w:eastAsia="仿宋" w:cs="仿宋"/>
          <w:color w:val="auto"/>
          <w:kern w:val="2"/>
          <w:sz w:val="24"/>
          <w:szCs w:val="24"/>
          <w:lang w:eastAsia="zh-CN"/>
        </w:rPr>
        <w:t>、</w:t>
      </w:r>
      <w:r>
        <w:rPr>
          <w:rFonts w:hint="eastAsia" w:ascii="仿宋" w:hAnsi="仿宋" w:eastAsia="仿宋" w:cs="仿宋"/>
          <w:color w:val="auto"/>
          <w:kern w:val="2"/>
          <w:sz w:val="24"/>
          <w:szCs w:val="24"/>
          <w:lang w:val="en-US" w:eastAsia="zh-CN"/>
        </w:rPr>
        <w:t>电子档</w:t>
      </w:r>
      <w:r>
        <w:rPr>
          <w:rFonts w:hint="eastAsia" w:ascii="仿宋" w:hAnsi="仿宋" w:eastAsia="仿宋" w:cs="仿宋"/>
          <w:color w:val="auto"/>
          <w:kern w:val="2"/>
          <w:sz w:val="24"/>
          <w:szCs w:val="24"/>
        </w:rPr>
        <w:t>均应密封送达投标地点。若正本、副本分别进行密封，应在封套上注明“正本”、“副本”字样。副本为正本的完整复印件，与正本不一致时以正本为准。注：标书密封的外封套上必须注明投标项目名称、投标公司名称、联系人姓名及电话。</w:t>
      </w:r>
    </w:p>
    <w:p w14:paraId="7A50176F">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（四）所有投标书应于2026年</w:t>
      </w:r>
      <w:r>
        <w:rPr>
          <w:rFonts w:hint="eastAsia" w:ascii="仿宋" w:hAnsi="仿宋" w:eastAsia="仿宋" w:cs="仿宋"/>
          <w:color w:val="auto"/>
          <w:kern w:val="2"/>
          <w:sz w:val="24"/>
          <w:szCs w:val="24"/>
          <w:lang w:val="en-US" w:eastAsia="zh-CN"/>
        </w:rPr>
        <w:t>10</w:t>
      </w:r>
      <w:r>
        <w:rPr>
          <w:rFonts w:hint="eastAsia" w:ascii="仿宋" w:hAnsi="仿宋" w:eastAsia="仿宋" w:cs="仿宋"/>
          <w:color w:val="auto"/>
          <w:kern w:val="2"/>
          <w:sz w:val="24"/>
          <w:szCs w:val="24"/>
        </w:rPr>
        <w:t>月</w:t>
      </w:r>
      <w:r>
        <w:rPr>
          <w:rFonts w:hint="eastAsia" w:ascii="仿宋" w:hAnsi="仿宋" w:eastAsia="仿宋" w:cs="仿宋"/>
          <w:color w:val="auto"/>
          <w:kern w:val="2"/>
          <w:sz w:val="24"/>
          <w:szCs w:val="24"/>
          <w:lang w:val="en-US" w:eastAsia="zh-CN"/>
        </w:rPr>
        <w:t>9</w:t>
      </w:r>
      <w:r>
        <w:rPr>
          <w:rFonts w:hint="eastAsia" w:ascii="仿宋" w:hAnsi="仿宋" w:eastAsia="仿宋" w:cs="仿宋"/>
          <w:color w:val="auto"/>
          <w:kern w:val="2"/>
          <w:sz w:val="24"/>
          <w:szCs w:val="24"/>
        </w:rPr>
        <w:t>日14:00至日14:30(开标前半小时)递交到重庆市黔江中心医院(重庆市黔江区正阳街道正舟路南段360号)科教楼B区二楼三会议室（须密封盖章）。</w:t>
      </w:r>
    </w:p>
    <w:p w14:paraId="108D2180">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（五）遴选时间：2026年</w:t>
      </w:r>
      <w:r>
        <w:rPr>
          <w:rFonts w:hint="eastAsia" w:ascii="仿宋" w:hAnsi="仿宋" w:eastAsia="仿宋" w:cs="仿宋"/>
          <w:color w:val="auto"/>
          <w:kern w:val="2"/>
          <w:sz w:val="24"/>
          <w:szCs w:val="24"/>
          <w:lang w:val="en-US" w:eastAsia="zh-CN"/>
        </w:rPr>
        <w:t>10</w:t>
      </w:r>
      <w:r>
        <w:rPr>
          <w:rFonts w:hint="eastAsia" w:ascii="仿宋" w:hAnsi="仿宋" w:eastAsia="仿宋" w:cs="仿宋"/>
          <w:color w:val="auto"/>
          <w:kern w:val="2"/>
          <w:sz w:val="24"/>
          <w:szCs w:val="24"/>
        </w:rPr>
        <w:t>月</w:t>
      </w:r>
      <w:r>
        <w:rPr>
          <w:rFonts w:hint="eastAsia" w:ascii="仿宋" w:hAnsi="仿宋" w:eastAsia="仿宋" w:cs="仿宋"/>
          <w:color w:val="auto"/>
          <w:kern w:val="2"/>
          <w:sz w:val="24"/>
          <w:szCs w:val="24"/>
          <w:lang w:val="en-US" w:eastAsia="zh-CN"/>
        </w:rPr>
        <w:t>9</w:t>
      </w:r>
      <w:r>
        <w:rPr>
          <w:rFonts w:hint="eastAsia" w:ascii="仿宋" w:hAnsi="仿宋" w:eastAsia="仿宋" w:cs="仿宋"/>
          <w:color w:val="auto"/>
          <w:kern w:val="2"/>
          <w:sz w:val="24"/>
          <w:szCs w:val="24"/>
        </w:rPr>
        <w:t>日14:30，遴选地点：重庆市黔江中心医院(重庆市黔江区正阳街道正舟路南段360号)科教楼B区二楼三会议室。</w:t>
      </w:r>
    </w:p>
    <w:p w14:paraId="3F367C44">
      <w:pPr>
        <w:pStyle w:val="3"/>
        <w:keepLines w:val="0"/>
        <w:spacing w:line="560" w:lineRule="exact"/>
        <w:ind w:firstLine="640" w:firstLineChars="200"/>
        <w:outlineLvl w:val="0"/>
        <w:rPr>
          <w:rFonts w:ascii="方正黑体_GBK" w:hAnsi="方正仿宋_GBK" w:eastAsia="方正黑体_GBK" w:cs="方正仿宋_GBK"/>
          <w:bCs w:val="0"/>
          <w:kern w:val="0"/>
          <w:sz w:val="32"/>
        </w:rPr>
      </w:pPr>
      <w:bookmarkStart w:id="20" w:name="_Toc60133133"/>
      <w:bookmarkStart w:id="21" w:name="_Toc224805688"/>
      <w:bookmarkStart w:id="22" w:name="_Toc11184"/>
      <w:r>
        <w:rPr>
          <w:rFonts w:hint="eastAsia" w:ascii="方正黑体_GBK" w:hAnsi="方正仿宋_GBK" w:eastAsia="方正黑体_GBK" w:cs="方正仿宋_GBK"/>
          <w:bCs w:val="0"/>
          <w:kern w:val="0"/>
          <w:sz w:val="32"/>
        </w:rPr>
        <w:t>六、</w:t>
      </w:r>
      <w:bookmarkEnd w:id="20"/>
      <w:r>
        <w:rPr>
          <w:rFonts w:hint="eastAsia" w:ascii="方正黑体_GBK" w:hAnsi="方正仿宋_GBK" w:eastAsia="方正黑体_GBK" w:cs="方正仿宋_GBK"/>
          <w:bCs w:val="0"/>
          <w:kern w:val="0"/>
          <w:sz w:val="32"/>
        </w:rPr>
        <w:t>响应有关规定</w:t>
      </w:r>
      <w:bookmarkEnd w:id="21"/>
      <w:bookmarkEnd w:id="22"/>
    </w:p>
    <w:p w14:paraId="78ABC71E">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（一）单位负责人为同一人或者存在直接控股、管理关系的不同投标人，不得参加同一合同项下的采购活动。</w:t>
      </w:r>
    </w:p>
    <w:p w14:paraId="3C641017">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（二）本项目若有补遗文件一律在重庆市黔江中心医院官网上发布，请各投标人注意下载；无论投标人下载与否，均视同投标人已知晓本项目补遗文件的内容。</w:t>
      </w:r>
    </w:p>
    <w:p w14:paraId="498F6414">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（三）超过响应文件递交截止时间递交的响应文件，恕不接收。</w:t>
      </w:r>
    </w:p>
    <w:p w14:paraId="7666CA61">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（四）遴选费用：无论投标结果如何，投标人参与本项目投标的所有费用均应由投标人自行承担。</w:t>
      </w:r>
    </w:p>
    <w:p w14:paraId="1F3E7891">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（五）本项目不接受联合体参与投标。</w:t>
      </w:r>
    </w:p>
    <w:p w14:paraId="59BE5F73">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（六）</w:t>
      </w:r>
      <w:bookmarkStart w:id="23" w:name="OLE_LINK1"/>
      <w:bookmarkStart w:id="24" w:name="OLE_LINK2"/>
      <w:r>
        <w:rPr>
          <w:rFonts w:hint="eastAsia" w:ascii="仿宋" w:hAnsi="仿宋" w:eastAsia="仿宋" w:cs="仿宋"/>
          <w:color w:val="auto"/>
          <w:kern w:val="2"/>
          <w:sz w:val="24"/>
          <w:szCs w:val="24"/>
        </w:rPr>
        <w:t>按照《财政部关于在政府采购活动中查询及使用信用记录有关问题的通知》财库〔2016〕125号，投标人列入失信被执行人、重大税收违法案件当事人名单、政府采购严重违法失信行为记录名单及其他不符合《中华人民共和国政府采购法》第二十二条规定条件的</w:t>
      </w:r>
      <w:bookmarkEnd w:id="23"/>
      <w:bookmarkEnd w:id="24"/>
      <w:r>
        <w:rPr>
          <w:rFonts w:hint="eastAsia" w:ascii="仿宋" w:hAnsi="仿宋" w:eastAsia="仿宋" w:cs="仿宋"/>
          <w:color w:val="auto"/>
          <w:kern w:val="2"/>
          <w:sz w:val="24"/>
          <w:szCs w:val="24"/>
        </w:rPr>
        <w:t>投标人，将拒绝其参与采购活动。</w:t>
      </w:r>
    </w:p>
    <w:p w14:paraId="169B10AF">
      <w:pPr>
        <w:pStyle w:val="3"/>
        <w:spacing w:line="560" w:lineRule="exact"/>
        <w:ind w:firstLine="640" w:firstLineChars="200"/>
        <w:outlineLvl w:val="0"/>
        <w:rPr>
          <w:rFonts w:ascii="方正黑体_GBK" w:hAnsi="方正仿宋_GBK" w:eastAsia="方正黑体_GBK" w:cs="方正仿宋_GBK"/>
          <w:bCs w:val="0"/>
          <w:kern w:val="0"/>
          <w:sz w:val="32"/>
        </w:rPr>
      </w:pPr>
      <w:bookmarkStart w:id="25" w:name="_Toc28233"/>
      <w:bookmarkStart w:id="26" w:name="_Toc224805690"/>
      <w:r>
        <w:rPr>
          <w:rFonts w:hint="eastAsia" w:ascii="方正黑体_GBK" w:hAnsi="方正仿宋_GBK" w:eastAsia="方正黑体_GBK" w:cs="方正仿宋_GBK"/>
          <w:bCs w:val="0"/>
          <w:kern w:val="0"/>
          <w:sz w:val="32"/>
          <w:lang w:val="en-US" w:eastAsia="zh-CN"/>
        </w:rPr>
        <w:t>七</w:t>
      </w:r>
      <w:r>
        <w:rPr>
          <w:rFonts w:hint="eastAsia" w:ascii="方正黑体_GBK" w:hAnsi="方正仿宋_GBK" w:eastAsia="方正黑体_GBK" w:cs="方正仿宋_GBK"/>
          <w:bCs w:val="0"/>
          <w:kern w:val="0"/>
          <w:sz w:val="32"/>
        </w:rPr>
        <w:t>、联系方式</w:t>
      </w:r>
      <w:bookmarkEnd w:id="25"/>
      <w:bookmarkEnd w:id="26"/>
    </w:p>
    <w:p w14:paraId="234B572A">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 xml:space="preserve">采购人：重庆市黔江中心医院     </w:t>
      </w:r>
      <w:r>
        <w:rPr>
          <w:rFonts w:hint="eastAsia" w:ascii="仿宋" w:hAnsi="仿宋" w:eastAsia="仿宋" w:cs="仿宋"/>
          <w:color w:val="auto"/>
          <w:kern w:val="2"/>
          <w:sz w:val="24"/>
          <w:szCs w:val="24"/>
          <w:lang w:val="en-US" w:eastAsia="zh-CN"/>
        </w:rPr>
        <w:t>遴选</w:t>
      </w:r>
      <w:r>
        <w:rPr>
          <w:rFonts w:hint="eastAsia" w:ascii="仿宋" w:hAnsi="仿宋" w:eastAsia="仿宋" w:cs="仿宋"/>
          <w:color w:val="auto"/>
          <w:kern w:val="2"/>
          <w:sz w:val="24"/>
          <w:szCs w:val="24"/>
        </w:rPr>
        <w:t>代理机构：重庆市科成工程建设监理有限公司</w:t>
      </w:r>
    </w:p>
    <w:p w14:paraId="033394C9">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联系人：陈老师                 联系人：时老师</w:t>
      </w:r>
    </w:p>
    <w:p w14:paraId="4ED15957">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电  话：15703006128            电  话：17382327366</w:t>
      </w:r>
    </w:p>
    <w:p w14:paraId="14F0C3B3">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地  址：重庆市黔江区正阳街道   地  址：重庆市巴南区鱼洞街</w:t>
      </w:r>
    </w:p>
    <w:p w14:paraId="63EED4C6">
      <w:pPr>
        <w:snapToGrid w:val="0"/>
        <w:spacing w:line="360" w:lineRule="auto"/>
        <w:ind w:firstLine="1440" w:firstLineChars="600"/>
        <w:rPr>
          <w:rFonts w:ascii="方正仿宋_GBK" w:hAnsi="方正仿宋_GBK" w:eastAsia="方正仿宋_GBK" w:cs="方正仿宋_GBK"/>
          <w:sz w:val="32"/>
          <w:szCs w:val="32"/>
        </w:rPr>
      </w:pPr>
      <w:r>
        <w:rPr>
          <w:rFonts w:hint="eastAsia" w:ascii="仿宋" w:hAnsi="仿宋" w:eastAsia="仿宋" w:cs="仿宋"/>
          <w:color w:val="auto"/>
          <w:kern w:val="2"/>
          <w:sz w:val="24"/>
          <w:szCs w:val="24"/>
        </w:rPr>
        <w:t>正舟路南段360号</w:t>
      </w:r>
      <w:r>
        <w:rPr>
          <w:rFonts w:hint="eastAsia" w:ascii="仿宋" w:hAnsi="仿宋" w:eastAsia="仿宋" w:cs="仿宋"/>
          <w:color w:val="auto"/>
          <w:kern w:val="2"/>
          <w:sz w:val="24"/>
          <w:szCs w:val="24"/>
          <w:lang w:val="en-US" w:eastAsia="zh-CN"/>
        </w:rPr>
        <w:t xml:space="preserve">       </w:t>
      </w:r>
      <w:r>
        <w:rPr>
          <w:rFonts w:hint="eastAsia" w:ascii="仿宋" w:hAnsi="仿宋" w:eastAsia="仿宋" w:cs="仿宋"/>
          <w:color w:val="auto"/>
          <w:kern w:val="2"/>
          <w:sz w:val="24"/>
          <w:szCs w:val="24"/>
        </w:rPr>
        <w:t xml:space="preserve">道江滨路建行支路科成监理 </w:t>
      </w:r>
      <w:r>
        <w:rPr>
          <w:rFonts w:hint="eastAsia" w:ascii="方正仿宋_GBK" w:hAnsi="方正仿宋_GBK" w:eastAsia="方正仿宋_GBK" w:cs="方正仿宋_GBK"/>
          <w:sz w:val="32"/>
          <w:szCs w:val="32"/>
        </w:rPr>
        <w:t xml:space="preserve">                                                  </w:t>
      </w:r>
    </w:p>
    <w:p w14:paraId="003DFE97">
      <w:pPr>
        <w:spacing w:line="560" w:lineRule="exact"/>
        <w:ind w:firstLine="640" w:firstLineChars="200"/>
        <w:rPr>
          <w:rFonts w:hint="eastAsia" w:ascii="方正黑体_GBK" w:hAnsi="方正仿宋_GBK" w:eastAsia="方正黑体_GBK" w:cs="方正仿宋_GBK"/>
          <w:sz w:val="32"/>
          <w:szCs w:val="32"/>
        </w:rPr>
      </w:pPr>
    </w:p>
    <w:p w14:paraId="708F1EEA">
      <w:pPr>
        <w:pStyle w:val="2"/>
        <w:spacing w:line="360" w:lineRule="auto"/>
        <w:rPr>
          <w:rFonts w:ascii="宋体" w:hAnsi="宋体" w:eastAsia="宋体" w:cs="宋体"/>
        </w:rPr>
      </w:pPr>
      <w:bookmarkStart w:id="27" w:name="_Toc224805691"/>
      <w:bookmarkStart w:id="28" w:name="_Toc31245"/>
      <w:bookmarkStart w:id="29" w:name="_Toc19113857"/>
      <w:r>
        <w:rPr>
          <w:rFonts w:hint="eastAsia" w:ascii="宋体" w:hAnsi="宋体" w:eastAsia="宋体" w:cs="宋体"/>
        </w:rPr>
        <w:t>第二篇 项目</w:t>
      </w:r>
      <w:r>
        <w:rPr>
          <w:rFonts w:hint="eastAsia" w:ascii="宋体" w:hAnsi="宋体" w:eastAsia="宋体" w:cs="宋体"/>
          <w:lang w:val="en-US" w:eastAsia="zh-CN"/>
        </w:rPr>
        <w:t>服务</w:t>
      </w:r>
      <w:r>
        <w:rPr>
          <w:rFonts w:hint="eastAsia" w:ascii="宋体" w:hAnsi="宋体" w:eastAsia="宋体" w:cs="宋体"/>
        </w:rPr>
        <w:t>要求</w:t>
      </w:r>
      <w:bookmarkEnd w:id="27"/>
      <w:bookmarkEnd w:id="28"/>
      <w:bookmarkEnd w:id="29"/>
      <w:bookmarkStart w:id="30" w:name="_Toc429558949"/>
      <w:bookmarkStart w:id="31" w:name="_Toc429553108"/>
      <w:bookmarkStart w:id="32" w:name="_Toc423596037"/>
      <w:bookmarkStart w:id="33" w:name="_Toc224805693"/>
      <w:bookmarkStart w:id="34" w:name="_Toc19113858"/>
      <w:bookmarkStart w:id="35" w:name="_Toc267320049"/>
    </w:p>
    <w:bookmarkEnd w:id="30"/>
    <w:bookmarkEnd w:id="31"/>
    <w:bookmarkEnd w:id="32"/>
    <w:p w14:paraId="660A8103">
      <w:pPr>
        <w:pStyle w:val="3"/>
        <w:outlineLvl w:val="0"/>
        <w:rPr>
          <w:rFonts w:ascii="方正黑体_GBK" w:eastAsia="方正黑体_GBK" w:cs="宋体"/>
          <w:sz w:val="32"/>
        </w:rPr>
      </w:pPr>
      <w:bookmarkStart w:id="36" w:name="_Toc7814"/>
      <w:bookmarkStart w:id="37" w:name="_Toc17780"/>
      <w:bookmarkStart w:id="38" w:name="_Toc76387235"/>
      <w:bookmarkStart w:id="39" w:name="_Toc221807797"/>
      <w:bookmarkStart w:id="40" w:name="_Toc423596040"/>
      <w:bookmarkStart w:id="41" w:name="_Toc19432"/>
      <w:bookmarkStart w:id="42" w:name="_Toc429558963"/>
      <w:r>
        <w:rPr>
          <w:rFonts w:hint="eastAsia" w:ascii="方正黑体_GBK" w:eastAsia="方正黑体_GBK" w:cs="宋体"/>
          <w:sz w:val="32"/>
        </w:rPr>
        <w:t>一、招标项目一览表</w:t>
      </w:r>
      <w:bookmarkEnd w:id="36"/>
      <w:bookmarkEnd w:id="37"/>
      <w:bookmarkEnd w:id="38"/>
      <w:bookmarkEnd w:id="39"/>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9"/>
        <w:gridCol w:w="1820"/>
        <w:gridCol w:w="1719"/>
      </w:tblGrid>
      <w:tr w14:paraId="42E48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79" w:type="dxa"/>
            <w:vAlign w:val="center"/>
          </w:tcPr>
          <w:p w14:paraId="2B90ABA6">
            <w:pPr>
              <w:pStyle w:val="24"/>
              <w:spacing w:line="240" w:lineRule="auto"/>
              <w:ind w:left="0" w:leftChars="0"/>
              <w:jc w:val="center"/>
              <w:outlineLvl w:val="9"/>
              <w:rPr>
                <w:rFonts w:hAnsi="宋体" w:cs="宋体"/>
                <w:b/>
                <w:sz w:val="21"/>
                <w:szCs w:val="21"/>
              </w:rPr>
            </w:pPr>
            <w:r>
              <w:rPr>
                <w:rFonts w:hint="eastAsia" w:hAnsi="宋体" w:cs="宋体"/>
                <w:b/>
                <w:sz w:val="21"/>
                <w:szCs w:val="21"/>
              </w:rPr>
              <w:t>项目名称</w:t>
            </w:r>
          </w:p>
        </w:tc>
        <w:tc>
          <w:tcPr>
            <w:tcW w:w="1820" w:type="dxa"/>
            <w:vAlign w:val="center"/>
          </w:tcPr>
          <w:p w14:paraId="253DB8D4">
            <w:pPr>
              <w:pStyle w:val="24"/>
              <w:spacing w:line="240" w:lineRule="auto"/>
              <w:ind w:left="0" w:leftChars="0"/>
              <w:jc w:val="center"/>
              <w:outlineLvl w:val="9"/>
              <w:rPr>
                <w:rFonts w:hAnsi="宋体" w:cs="宋体"/>
                <w:b/>
                <w:sz w:val="21"/>
                <w:szCs w:val="21"/>
              </w:rPr>
            </w:pPr>
            <w:r>
              <w:rPr>
                <w:rFonts w:hint="eastAsia" w:hAnsi="宋体" w:cs="宋体"/>
                <w:b/>
                <w:sz w:val="21"/>
                <w:szCs w:val="21"/>
              </w:rPr>
              <w:t>数量/单位</w:t>
            </w:r>
          </w:p>
        </w:tc>
        <w:tc>
          <w:tcPr>
            <w:tcW w:w="1719" w:type="dxa"/>
            <w:vAlign w:val="center"/>
          </w:tcPr>
          <w:p w14:paraId="715CCAEF">
            <w:pPr>
              <w:pStyle w:val="24"/>
              <w:spacing w:line="240" w:lineRule="auto"/>
              <w:ind w:left="0" w:leftChars="0"/>
              <w:jc w:val="center"/>
              <w:outlineLvl w:val="9"/>
              <w:rPr>
                <w:rFonts w:hAnsi="宋体" w:cs="宋体"/>
                <w:b/>
                <w:sz w:val="21"/>
                <w:szCs w:val="21"/>
              </w:rPr>
            </w:pPr>
            <w:r>
              <w:rPr>
                <w:rFonts w:hint="eastAsia" w:hAnsi="宋体" w:cs="宋体"/>
                <w:b/>
                <w:sz w:val="21"/>
                <w:szCs w:val="21"/>
              </w:rPr>
              <w:t>备注</w:t>
            </w:r>
          </w:p>
        </w:tc>
      </w:tr>
      <w:tr w14:paraId="201FE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4879" w:type="dxa"/>
            <w:vAlign w:val="center"/>
          </w:tcPr>
          <w:p w14:paraId="6F4B93D5">
            <w:pPr>
              <w:snapToGrid w:val="0"/>
              <w:spacing w:line="360" w:lineRule="auto"/>
              <w:jc w:val="center"/>
              <w:rPr>
                <w:rFonts w:hint="default" w:ascii="仿宋" w:hAnsi="仿宋" w:eastAsia="仿宋" w:cs="仿宋"/>
                <w:color w:val="auto"/>
                <w:kern w:val="2"/>
                <w:sz w:val="24"/>
                <w:szCs w:val="24"/>
                <w:lang w:val="en-US" w:eastAsia="zh-CN"/>
              </w:rPr>
            </w:pPr>
            <w:r>
              <w:rPr>
                <w:rFonts w:hint="eastAsia" w:ascii="仿宋" w:hAnsi="仿宋" w:eastAsia="仿宋" w:cs="仿宋"/>
                <w:color w:val="auto"/>
                <w:kern w:val="2"/>
                <w:sz w:val="24"/>
                <w:szCs w:val="24"/>
              </w:rPr>
              <w:t>重庆市黔江中心医院</w:t>
            </w:r>
            <w:r>
              <w:rPr>
                <w:rFonts w:hint="eastAsia" w:ascii="仿宋" w:hAnsi="仿宋" w:eastAsia="仿宋" w:cs="仿宋"/>
                <w:color w:val="auto"/>
                <w:kern w:val="2"/>
                <w:sz w:val="24"/>
                <w:szCs w:val="24"/>
                <w:lang w:val="en-US" w:eastAsia="zh-CN"/>
              </w:rPr>
              <w:t>消防维保</w:t>
            </w:r>
            <w:r>
              <w:rPr>
                <w:rFonts w:hint="eastAsia" w:ascii="仿宋" w:hAnsi="仿宋" w:eastAsia="仿宋" w:cs="仿宋"/>
                <w:color w:val="auto"/>
                <w:kern w:val="2"/>
                <w:sz w:val="24"/>
                <w:szCs w:val="24"/>
              </w:rPr>
              <w:t>服务</w:t>
            </w:r>
          </w:p>
        </w:tc>
        <w:tc>
          <w:tcPr>
            <w:tcW w:w="1820" w:type="dxa"/>
            <w:vAlign w:val="center"/>
          </w:tcPr>
          <w:p w14:paraId="2435FFE7">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1项</w:t>
            </w:r>
          </w:p>
        </w:tc>
        <w:tc>
          <w:tcPr>
            <w:tcW w:w="1719" w:type="dxa"/>
            <w:vAlign w:val="center"/>
          </w:tcPr>
          <w:p w14:paraId="1612932E">
            <w:pPr>
              <w:pStyle w:val="15"/>
              <w:spacing w:line="240" w:lineRule="auto"/>
              <w:ind w:left="8500" w:firstLine="0"/>
              <w:outlineLvl w:val="9"/>
              <w:rPr>
                <w:rFonts w:ascii="宋体" w:hAnsi="宋体" w:cs="宋体"/>
                <w:kern w:val="0"/>
                <w:szCs w:val="28"/>
              </w:rPr>
            </w:pPr>
          </w:p>
        </w:tc>
      </w:tr>
      <w:bookmarkEnd w:id="40"/>
      <w:bookmarkEnd w:id="41"/>
      <w:bookmarkEnd w:id="42"/>
    </w:tbl>
    <w:p w14:paraId="16E7E96A">
      <w:pPr>
        <w:pStyle w:val="3"/>
        <w:outlineLvl w:val="0"/>
        <w:rPr>
          <w:rFonts w:hint="eastAsia" w:ascii="方正黑体_GBK" w:eastAsia="方正黑体_GBK" w:cs="宋体"/>
          <w:sz w:val="32"/>
        </w:rPr>
      </w:pPr>
      <w:bookmarkStart w:id="43" w:name="_Toc8575"/>
      <w:bookmarkStart w:id="44" w:name="_Toc21112"/>
      <w:r>
        <w:rPr>
          <w:rFonts w:hint="eastAsia" w:ascii="方正黑体_GBK" w:eastAsia="方正黑体_GBK" w:cs="宋体"/>
          <w:sz w:val="32"/>
        </w:rPr>
        <w:t>二、服务标准</w:t>
      </w:r>
      <w:bookmarkEnd w:id="43"/>
      <w:bookmarkEnd w:id="44"/>
    </w:p>
    <w:p w14:paraId="13A385B6">
      <w:pPr>
        <w:snapToGrid w:val="0"/>
        <w:spacing w:line="360" w:lineRule="auto"/>
        <w:ind w:firstLine="480" w:firstLineChars="200"/>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rPr>
        <w:t>1.建立实行驻守院区维修维保每日值班值守制度,</w:t>
      </w:r>
      <w:r>
        <w:rPr>
          <w:rFonts w:hint="eastAsia" w:ascii="仿宋" w:hAnsi="仿宋" w:eastAsia="仿宋" w:cs="仿宋"/>
          <w:color w:val="auto"/>
          <w:kern w:val="2"/>
          <w:sz w:val="24"/>
          <w:szCs w:val="24"/>
          <w:lang w:val="en-US" w:eastAsia="zh-CN"/>
        </w:rPr>
        <w:t>投标人为本项目设置1名项目负责人（应当具备相应的一级注册消防工程师资格，</w:t>
      </w:r>
      <w:r>
        <w:rPr>
          <w:rFonts w:hint="eastAsia" w:ascii="仿宋" w:hAnsi="仿宋" w:eastAsia="仿宋" w:cs="仿宋"/>
          <w:color w:val="auto"/>
          <w:kern w:val="2"/>
          <w:sz w:val="24"/>
          <w:szCs w:val="24"/>
        </w:rPr>
        <w:t>提供资格证书复印件或扫描件，同时需提供投标人2026年1月1日至投标截止之日期间，为其缴纳至少1个月社保的证明材料复印件</w:t>
      </w:r>
      <w:r>
        <w:rPr>
          <w:rFonts w:hint="eastAsia" w:ascii="仿宋" w:hAnsi="仿宋" w:eastAsia="仿宋" w:cs="仿宋"/>
          <w:color w:val="auto"/>
          <w:kern w:val="2"/>
          <w:sz w:val="24"/>
          <w:szCs w:val="24"/>
          <w:lang w:val="en-US" w:eastAsia="zh-CN"/>
        </w:rPr>
        <w:t>）。项目负责人每月至少到场一次。</w:t>
      </w:r>
    </w:p>
    <w:p w14:paraId="47499B92">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投标人需向采购人派驻1名有较强技术水平和沟通能力的技术员</w:t>
      </w:r>
      <w:r>
        <w:rPr>
          <w:rFonts w:hint="eastAsia" w:ascii="仿宋" w:hAnsi="仿宋" w:eastAsia="仿宋" w:cs="仿宋"/>
          <w:color w:val="auto"/>
          <w:kern w:val="2"/>
          <w:sz w:val="24"/>
          <w:szCs w:val="24"/>
          <w:lang w:val="en-US" w:eastAsia="zh-CN"/>
        </w:rPr>
        <w:t>参照采购人行政班上班时间驻场，驻场人员</w:t>
      </w:r>
      <w:r>
        <w:rPr>
          <w:rFonts w:hint="eastAsia" w:ascii="仿宋" w:hAnsi="仿宋" w:eastAsia="仿宋" w:cs="仿宋"/>
          <w:color w:val="auto"/>
          <w:kern w:val="2"/>
          <w:sz w:val="24"/>
          <w:szCs w:val="24"/>
        </w:rPr>
        <w:t>必须取得中级（即国家职业资格四级）或以上建（构）筑物消防员或消防设施操作员（提供资格证书复印件或扫描件，同时需提供投标人2026年1月1日至投标截止之日期间，为其缴纳至少1个月社保的证明材料复印件）</w:t>
      </w:r>
      <w:r>
        <w:rPr>
          <w:rFonts w:hint="eastAsia" w:ascii="仿宋" w:hAnsi="仿宋" w:eastAsia="仿宋" w:cs="仿宋"/>
          <w:color w:val="auto"/>
          <w:kern w:val="2"/>
          <w:sz w:val="24"/>
          <w:szCs w:val="24"/>
          <w:lang w:val="en-US" w:eastAsia="zh-CN"/>
        </w:rPr>
        <w:t>资质</w:t>
      </w:r>
      <w:r>
        <w:rPr>
          <w:rFonts w:hint="eastAsia" w:ascii="仿宋" w:hAnsi="仿宋" w:eastAsia="仿宋" w:cs="仿宋"/>
          <w:color w:val="auto"/>
          <w:kern w:val="2"/>
          <w:sz w:val="24"/>
          <w:szCs w:val="24"/>
        </w:rPr>
        <w:t>，能够独立处理各项消防设施设备故障，节假日及夜间有紧急或特殊情况，须</w:t>
      </w:r>
      <w:r>
        <w:rPr>
          <w:rFonts w:hint="eastAsia" w:ascii="仿宋" w:hAnsi="仿宋" w:eastAsia="仿宋" w:cs="仿宋"/>
          <w:color w:val="auto"/>
          <w:kern w:val="2"/>
          <w:sz w:val="24"/>
          <w:szCs w:val="24"/>
          <w:lang w:val="en-US" w:eastAsia="zh-CN"/>
        </w:rPr>
        <w:t>30分钟内</w:t>
      </w:r>
      <w:r>
        <w:rPr>
          <w:rFonts w:hint="eastAsia" w:ascii="仿宋" w:hAnsi="仿宋" w:eastAsia="仿宋" w:cs="仿宋"/>
          <w:color w:val="auto"/>
          <w:kern w:val="2"/>
          <w:sz w:val="24"/>
          <w:szCs w:val="24"/>
        </w:rPr>
        <w:t>到场处理。若服务开始后不能如实履约，</w:t>
      </w:r>
      <w:r>
        <w:rPr>
          <w:rFonts w:hint="eastAsia" w:ascii="仿宋" w:hAnsi="仿宋" w:eastAsia="仿宋" w:cs="仿宋"/>
          <w:color w:val="auto"/>
          <w:kern w:val="2"/>
          <w:sz w:val="24"/>
          <w:szCs w:val="24"/>
          <w:lang w:val="en-US" w:eastAsia="zh-CN"/>
        </w:rPr>
        <w:t>采购人</w:t>
      </w:r>
      <w:r>
        <w:rPr>
          <w:rFonts w:hint="eastAsia" w:ascii="仿宋" w:hAnsi="仿宋" w:eastAsia="仿宋" w:cs="仿宋"/>
          <w:color w:val="auto"/>
          <w:kern w:val="2"/>
          <w:sz w:val="24"/>
          <w:szCs w:val="24"/>
        </w:rPr>
        <w:t>有权终止合同并追究责任。</w:t>
      </w:r>
    </w:p>
    <w:p w14:paraId="12870B5E">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2.配合</w:t>
      </w:r>
      <w:r>
        <w:rPr>
          <w:rFonts w:hint="eastAsia" w:ascii="仿宋" w:hAnsi="仿宋" w:eastAsia="仿宋" w:cs="仿宋"/>
          <w:color w:val="auto"/>
          <w:kern w:val="2"/>
          <w:sz w:val="24"/>
          <w:szCs w:val="24"/>
          <w:lang w:val="en-US" w:eastAsia="zh-CN"/>
        </w:rPr>
        <w:t>采购人</w:t>
      </w:r>
      <w:r>
        <w:rPr>
          <w:rFonts w:hint="eastAsia" w:ascii="仿宋" w:hAnsi="仿宋" w:eastAsia="仿宋" w:cs="仿宋"/>
          <w:color w:val="auto"/>
          <w:kern w:val="2"/>
          <w:sz w:val="24"/>
          <w:szCs w:val="24"/>
        </w:rPr>
        <w:t>对消防设施设备（系统）的运行</w:t>
      </w:r>
      <w:r>
        <w:rPr>
          <w:rFonts w:hint="eastAsia" w:ascii="仿宋" w:hAnsi="仿宋" w:eastAsia="仿宋" w:cs="仿宋"/>
          <w:color w:val="auto"/>
          <w:kern w:val="2"/>
          <w:sz w:val="24"/>
          <w:szCs w:val="24"/>
          <w:lang w:val="en-US" w:eastAsia="zh-CN"/>
        </w:rPr>
        <w:t>日常</w:t>
      </w:r>
      <w:r>
        <w:rPr>
          <w:rFonts w:hint="eastAsia" w:ascii="仿宋" w:hAnsi="仿宋" w:eastAsia="仿宋" w:cs="仿宋"/>
          <w:color w:val="auto"/>
          <w:kern w:val="2"/>
          <w:sz w:val="24"/>
          <w:szCs w:val="24"/>
        </w:rPr>
        <w:t>管理；负责消防设施设备（系统）发生故障或消防突发事件（事故）等及时维修与应急处置，对存在违反国家、地方法律法规与行业标准的行为等，提出整改建议或意见；</w:t>
      </w:r>
    </w:p>
    <w:p w14:paraId="2278D92C">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3.维保人员每周向</w:t>
      </w:r>
      <w:r>
        <w:rPr>
          <w:rFonts w:hint="eastAsia" w:ascii="仿宋" w:hAnsi="仿宋" w:eastAsia="仿宋" w:cs="仿宋"/>
          <w:color w:val="auto"/>
          <w:kern w:val="2"/>
          <w:sz w:val="24"/>
          <w:szCs w:val="24"/>
          <w:lang w:eastAsia="zh-CN"/>
        </w:rPr>
        <w:t>采购人</w:t>
      </w:r>
      <w:r>
        <w:rPr>
          <w:rFonts w:hint="eastAsia" w:ascii="仿宋" w:hAnsi="仿宋" w:eastAsia="仿宋" w:cs="仿宋"/>
          <w:color w:val="auto"/>
          <w:kern w:val="2"/>
          <w:sz w:val="24"/>
          <w:szCs w:val="24"/>
        </w:rPr>
        <w:t>汇报消防设施设备（系统）运行情况及设备故障隐患维修建议和方案。项目负责人至少每月书面向</w:t>
      </w:r>
      <w:r>
        <w:rPr>
          <w:rFonts w:hint="eastAsia" w:ascii="仿宋" w:hAnsi="仿宋" w:eastAsia="仿宋" w:cs="仿宋"/>
          <w:color w:val="auto"/>
          <w:kern w:val="2"/>
          <w:sz w:val="24"/>
          <w:szCs w:val="24"/>
          <w:lang w:val="en-US" w:eastAsia="zh-CN"/>
        </w:rPr>
        <w:t>采购人</w:t>
      </w:r>
      <w:r>
        <w:rPr>
          <w:rFonts w:hint="eastAsia" w:ascii="仿宋" w:hAnsi="仿宋" w:eastAsia="仿宋" w:cs="仿宋"/>
          <w:color w:val="auto"/>
          <w:kern w:val="2"/>
          <w:sz w:val="24"/>
          <w:szCs w:val="24"/>
        </w:rPr>
        <w:t>汇报一次医院消防安全工作，</w:t>
      </w:r>
      <w:r>
        <w:rPr>
          <w:rFonts w:hint="eastAsia" w:ascii="仿宋" w:hAnsi="仿宋" w:eastAsia="仿宋" w:cs="仿宋"/>
          <w:color w:val="auto"/>
          <w:kern w:val="2"/>
          <w:sz w:val="24"/>
          <w:szCs w:val="24"/>
          <w:lang w:val="en-US" w:eastAsia="zh-CN"/>
        </w:rPr>
        <w:t>建立消防维修维保工作台账和维保记录，每月按时提交采购人，</w:t>
      </w:r>
      <w:r>
        <w:rPr>
          <w:rFonts w:hint="eastAsia" w:ascii="仿宋" w:hAnsi="仿宋" w:eastAsia="仿宋" w:cs="仿宋"/>
          <w:color w:val="auto"/>
          <w:kern w:val="2"/>
          <w:sz w:val="24"/>
          <w:szCs w:val="24"/>
        </w:rPr>
        <w:t>持续改进和提高维护质量；</w:t>
      </w:r>
    </w:p>
    <w:p w14:paraId="4BE5574B">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4.遵守</w:t>
      </w:r>
      <w:r>
        <w:rPr>
          <w:rFonts w:hint="eastAsia" w:ascii="仿宋" w:hAnsi="仿宋" w:eastAsia="仿宋" w:cs="仿宋"/>
          <w:color w:val="auto"/>
          <w:kern w:val="2"/>
          <w:sz w:val="24"/>
          <w:szCs w:val="24"/>
          <w:lang w:eastAsia="zh-CN"/>
        </w:rPr>
        <w:t>采购人</w:t>
      </w:r>
      <w:r>
        <w:rPr>
          <w:rFonts w:hint="eastAsia" w:ascii="仿宋" w:hAnsi="仿宋" w:eastAsia="仿宋" w:cs="仿宋"/>
          <w:color w:val="auto"/>
          <w:kern w:val="2"/>
          <w:sz w:val="24"/>
          <w:szCs w:val="24"/>
        </w:rPr>
        <w:t>相关管理规定，上班期间必须实行人员身份识别，佩戴胸牌及着工作装；</w:t>
      </w:r>
    </w:p>
    <w:p w14:paraId="0DE930EE">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5.未经</w:t>
      </w:r>
      <w:r>
        <w:rPr>
          <w:rFonts w:hint="eastAsia" w:ascii="仿宋" w:hAnsi="仿宋" w:eastAsia="仿宋" w:cs="仿宋"/>
          <w:color w:val="auto"/>
          <w:kern w:val="2"/>
          <w:sz w:val="24"/>
          <w:szCs w:val="24"/>
          <w:lang w:eastAsia="zh-CN"/>
        </w:rPr>
        <w:t>采购人</w:t>
      </w:r>
      <w:r>
        <w:rPr>
          <w:rFonts w:hint="eastAsia" w:ascii="仿宋" w:hAnsi="仿宋" w:eastAsia="仿宋" w:cs="仿宋"/>
          <w:color w:val="auto"/>
          <w:kern w:val="2"/>
          <w:sz w:val="24"/>
          <w:szCs w:val="24"/>
        </w:rPr>
        <w:t>同意，</w:t>
      </w:r>
      <w:r>
        <w:rPr>
          <w:rFonts w:hint="eastAsia" w:ascii="仿宋" w:hAnsi="仿宋" w:eastAsia="仿宋" w:cs="仿宋"/>
          <w:color w:val="auto"/>
          <w:kern w:val="2"/>
          <w:sz w:val="24"/>
          <w:szCs w:val="24"/>
          <w:lang w:eastAsia="zh-CN"/>
        </w:rPr>
        <w:t>投标人</w:t>
      </w:r>
      <w:r>
        <w:rPr>
          <w:rFonts w:hint="eastAsia" w:ascii="仿宋" w:hAnsi="仿宋" w:eastAsia="仿宋" w:cs="仿宋"/>
          <w:color w:val="auto"/>
          <w:kern w:val="2"/>
          <w:sz w:val="24"/>
          <w:szCs w:val="24"/>
        </w:rPr>
        <w:t>不得擅自调换驻院维保人员，</w:t>
      </w:r>
      <w:r>
        <w:rPr>
          <w:rFonts w:hint="eastAsia" w:ascii="仿宋" w:hAnsi="仿宋" w:eastAsia="仿宋" w:cs="仿宋"/>
          <w:color w:val="auto"/>
          <w:kern w:val="2"/>
          <w:sz w:val="24"/>
          <w:szCs w:val="24"/>
          <w:lang w:eastAsia="zh-CN"/>
        </w:rPr>
        <w:t>采购人</w:t>
      </w:r>
      <w:r>
        <w:rPr>
          <w:rFonts w:hint="eastAsia" w:ascii="仿宋" w:hAnsi="仿宋" w:eastAsia="仿宋" w:cs="仿宋"/>
          <w:color w:val="auto"/>
          <w:kern w:val="2"/>
          <w:sz w:val="24"/>
          <w:szCs w:val="24"/>
        </w:rPr>
        <w:t>对</w:t>
      </w:r>
      <w:r>
        <w:rPr>
          <w:rFonts w:hint="eastAsia" w:ascii="仿宋" w:hAnsi="仿宋" w:eastAsia="仿宋" w:cs="仿宋"/>
          <w:color w:val="auto"/>
          <w:kern w:val="2"/>
          <w:sz w:val="24"/>
          <w:szCs w:val="24"/>
          <w:lang w:eastAsia="zh-CN"/>
        </w:rPr>
        <w:t>投标人</w:t>
      </w:r>
      <w:r>
        <w:rPr>
          <w:rFonts w:hint="eastAsia" w:ascii="仿宋" w:hAnsi="仿宋" w:eastAsia="仿宋" w:cs="仿宋"/>
          <w:color w:val="auto"/>
          <w:kern w:val="2"/>
          <w:sz w:val="24"/>
          <w:szCs w:val="24"/>
        </w:rPr>
        <w:t>派驻的维保技术人员实行试岗和考核制度，试岗期为1个月，试岗结束后如</w:t>
      </w:r>
      <w:r>
        <w:rPr>
          <w:rFonts w:hint="eastAsia" w:ascii="仿宋" w:hAnsi="仿宋" w:eastAsia="仿宋" w:cs="仿宋"/>
          <w:color w:val="auto"/>
          <w:kern w:val="2"/>
          <w:sz w:val="24"/>
          <w:szCs w:val="24"/>
          <w:lang w:eastAsia="zh-CN"/>
        </w:rPr>
        <w:t>采购人</w:t>
      </w:r>
      <w:r>
        <w:rPr>
          <w:rFonts w:hint="eastAsia" w:ascii="仿宋" w:hAnsi="仿宋" w:eastAsia="仿宋" w:cs="仿宋"/>
          <w:color w:val="auto"/>
          <w:kern w:val="2"/>
          <w:sz w:val="24"/>
          <w:szCs w:val="24"/>
        </w:rPr>
        <w:t>认为派驻人员不合格，</w:t>
      </w:r>
      <w:r>
        <w:rPr>
          <w:rFonts w:hint="eastAsia" w:ascii="仿宋" w:hAnsi="仿宋" w:eastAsia="仿宋" w:cs="仿宋"/>
          <w:color w:val="auto"/>
          <w:kern w:val="2"/>
          <w:sz w:val="24"/>
          <w:szCs w:val="24"/>
          <w:lang w:eastAsia="zh-CN"/>
        </w:rPr>
        <w:t>投标人</w:t>
      </w:r>
      <w:r>
        <w:rPr>
          <w:rFonts w:hint="eastAsia" w:ascii="仿宋" w:hAnsi="仿宋" w:eastAsia="仿宋" w:cs="仿宋"/>
          <w:color w:val="auto"/>
          <w:kern w:val="2"/>
          <w:sz w:val="24"/>
          <w:szCs w:val="24"/>
        </w:rPr>
        <w:t>应在收到不合格意见的5个工作日内重新派驻新的维保人员，如连续三次试岗不合格，</w:t>
      </w:r>
      <w:r>
        <w:rPr>
          <w:rFonts w:hint="eastAsia" w:ascii="仿宋" w:hAnsi="仿宋" w:eastAsia="仿宋" w:cs="仿宋"/>
          <w:color w:val="auto"/>
          <w:kern w:val="2"/>
          <w:sz w:val="24"/>
          <w:szCs w:val="24"/>
          <w:lang w:eastAsia="zh-CN"/>
        </w:rPr>
        <w:t>采购人</w:t>
      </w:r>
      <w:r>
        <w:rPr>
          <w:rFonts w:hint="eastAsia" w:ascii="仿宋" w:hAnsi="仿宋" w:eastAsia="仿宋" w:cs="仿宋"/>
          <w:color w:val="auto"/>
          <w:kern w:val="2"/>
          <w:sz w:val="24"/>
          <w:szCs w:val="24"/>
        </w:rPr>
        <w:t>有权终止合同。</w:t>
      </w:r>
    </w:p>
    <w:p w14:paraId="2C4AB352">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6.维保人员的安全责任由</w:t>
      </w:r>
      <w:r>
        <w:rPr>
          <w:rFonts w:hint="eastAsia" w:ascii="仿宋" w:hAnsi="仿宋" w:eastAsia="仿宋" w:cs="仿宋"/>
          <w:color w:val="auto"/>
          <w:kern w:val="2"/>
          <w:sz w:val="24"/>
          <w:szCs w:val="24"/>
          <w:lang w:eastAsia="zh-CN"/>
        </w:rPr>
        <w:t>投标人</w:t>
      </w:r>
      <w:r>
        <w:rPr>
          <w:rFonts w:hint="eastAsia" w:ascii="仿宋" w:hAnsi="仿宋" w:eastAsia="仿宋" w:cs="仿宋"/>
          <w:color w:val="auto"/>
          <w:kern w:val="2"/>
          <w:sz w:val="24"/>
          <w:szCs w:val="24"/>
        </w:rPr>
        <w:t>承担，购买保险</w:t>
      </w:r>
      <w:r>
        <w:rPr>
          <w:rFonts w:hint="eastAsia" w:ascii="仿宋" w:hAnsi="仿宋" w:eastAsia="仿宋" w:cs="仿宋"/>
          <w:color w:val="auto"/>
          <w:kern w:val="2"/>
          <w:sz w:val="24"/>
          <w:szCs w:val="24"/>
          <w:lang w:eastAsia="zh-CN"/>
        </w:rPr>
        <w:t>。</w:t>
      </w:r>
      <w:r>
        <w:rPr>
          <w:rFonts w:hint="eastAsia" w:ascii="仿宋" w:hAnsi="仿宋" w:eastAsia="仿宋" w:cs="仿宋"/>
          <w:color w:val="auto"/>
          <w:kern w:val="2"/>
          <w:sz w:val="24"/>
          <w:szCs w:val="24"/>
        </w:rPr>
        <w:t>因</w:t>
      </w:r>
      <w:r>
        <w:rPr>
          <w:rFonts w:hint="eastAsia" w:ascii="仿宋" w:hAnsi="仿宋" w:eastAsia="仿宋" w:cs="仿宋"/>
          <w:color w:val="auto"/>
          <w:kern w:val="2"/>
          <w:sz w:val="24"/>
          <w:szCs w:val="24"/>
          <w:lang w:val="en-US" w:eastAsia="zh-CN"/>
        </w:rPr>
        <w:t>投标人</w:t>
      </w:r>
      <w:r>
        <w:rPr>
          <w:rFonts w:hint="eastAsia" w:ascii="仿宋" w:hAnsi="仿宋" w:eastAsia="仿宋" w:cs="仿宋"/>
          <w:color w:val="auto"/>
          <w:kern w:val="2"/>
          <w:sz w:val="24"/>
          <w:szCs w:val="24"/>
        </w:rPr>
        <w:t>导致的</w:t>
      </w:r>
      <w:r>
        <w:rPr>
          <w:rFonts w:hint="eastAsia" w:ascii="仿宋" w:hAnsi="仿宋" w:eastAsia="仿宋" w:cs="仿宋"/>
          <w:color w:val="auto"/>
          <w:kern w:val="2"/>
          <w:sz w:val="24"/>
          <w:szCs w:val="24"/>
          <w:lang w:eastAsia="zh-CN"/>
        </w:rPr>
        <w:t>采购人</w:t>
      </w:r>
      <w:r>
        <w:rPr>
          <w:rFonts w:hint="eastAsia" w:ascii="仿宋" w:hAnsi="仿宋" w:eastAsia="仿宋" w:cs="仿宋"/>
          <w:color w:val="auto"/>
          <w:kern w:val="2"/>
          <w:sz w:val="24"/>
          <w:szCs w:val="24"/>
        </w:rPr>
        <w:t>或第三方安全责任由</w:t>
      </w:r>
      <w:r>
        <w:rPr>
          <w:rFonts w:hint="eastAsia" w:ascii="仿宋" w:hAnsi="仿宋" w:eastAsia="仿宋" w:cs="仿宋"/>
          <w:color w:val="auto"/>
          <w:kern w:val="2"/>
          <w:sz w:val="24"/>
          <w:szCs w:val="24"/>
          <w:lang w:eastAsia="zh-CN"/>
        </w:rPr>
        <w:t>投标人</w:t>
      </w:r>
      <w:r>
        <w:rPr>
          <w:rFonts w:hint="eastAsia" w:ascii="仿宋" w:hAnsi="仿宋" w:eastAsia="仿宋" w:cs="仿宋"/>
          <w:color w:val="auto"/>
          <w:kern w:val="2"/>
          <w:sz w:val="24"/>
          <w:szCs w:val="24"/>
        </w:rPr>
        <w:t>承担。</w:t>
      </w:r>
    </w:p>
    <w:p w14:paraId="49439C4D">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7.特殊作业环境如受限空间、高压电作业、高空作业</w:t>
      </w:r>
      <w:r>
        <w:rPr>
          <w:rFonts w:hint="eastAsia" w:ascii="仿宋" w:hAnsi="仿宋" w:eastAsia="仿宋" w:cs="仿宋"/>
          <w:color w:val="auto"/>
          <w:kern w:val="2"/>
          <w:sz w:val="24"/>
          <w:szCs w:val="24"/>
          <w:lang w:eastAsia="zh-CN"/>
        </w:rPr>
        <w:t>、</w:t>
      </w:r>
      <w:r>
        <w:rPr>
          <w:rFonts w:hint="eastAsia" w:ascii="仿宋" w:hAnsi="仿宋" w:eastAsia="仿宋" w:cs="仿宋"/>
          <w:color w:val="auto"/>
          <w:kern w:val="2"/>
          <w:sz w:val="24"/>
          <w:szCs w:val="24"/>
          <w:lang w:val="en-US" w:eastAsia="zh-CN"/>
        </w:rPr>
        <w:t>动火作业</w:t>
      </w:r>
      <w:r>
        <w:rPr>
          <w:rFonts w:hint="eastAsia" w:ascii="仿宋" w:hAnsi="仿宋" w:eastAsia="仿宋" w:cs="仿宋"/>
          <w:color w:val="auto"/>
          <w:kern w:val="2"/>
          <w:sz w:val="24"/>
          <w:szCs w:val="24"/>
        </w:rPr>
        <w:t>等，</w:t>
      </w:r>
      <w:r>
        <w:rPr>
          <w:rFonts w:hint="eastAsia" w:ascii="仿宋" w:hAnsi="仿宋" w:eastAsia="仿宋" w:cs="仿宋"/>
          <w:color w:val="auto"/>
          <w:kern w:val="2"/>
          <w:sz w:val="24"/>
          <w:szCs w:val="24"/>
          <w:lang w:val="en-US" w:eastAsia="zh-CN"/>
        </w:rPr>
        <w:t>按照</w:t>
      </w:r>
      <w:r>
        <w:rPr>
          <w:rFonts w:hint="eastAsia" w:ascii="仿宋" w:hAnsi="仿宋" w:eastAsia="仿宋" w:cs="仿宋"/>
          <w:color w:val="auto"/>
          <w:kern w:val="2"/>
          <w:sz w:val="24"/>
          <w:szCs w:val="24"/>
        </w:rPr>
        <w:t>专门的作业方案，设立监管人员，不得无证作业，不得随意作业，须事前报采购人审核通过后方可作业。</w:t>
      </w:r>
    </w:p>
    <w:p w14:paraId="3C30FE80">
      <w:pPr>
        <w:pStyle w:val="3"/>
        <w:outlineLvl w:val="0"/>
        <w:rPr>
          <w:rFonts w:hint="eastAsia" w:ascii="方正黑体_GBK" w:eastAsia="方正黑体_GBK" w:cs="宋体"/>
          <w:sz w:val="32"/>
        </w:rPr>
      </w:pPr>
      <w:bookmarkStart w:id="45" w:name="_Toc13405"/>
      <w:bookmarkStart w:id="46" w:name="_Toc10364"/>
      <w:r>
        <w:rPr>
          <w:rFonts w:hint="eastAsia" w:ascii="方正黑体_GBK" w:eastAsia="方正黑体_GBK" w:cs="宋体"/>
          <w:sz w:val="32"/>
        </w:rPr>
        <w:t>三、服务要求</w:t>
      </w:r>
      <w:bookmarkEnd w:id="45"/>
      <w:bookmarkEnd w:id="46"/>
    </w:p>
    <w:p w14:paraId="0A156330">
      <w:pPr>
        <w:spacing w:line="360" w:lineRule="auto"/>
        <w:ind w:firstLine="480" w:firstLineChars="200"/>
        <w:outlineLvl w:val="1"/>
        <w:rPr>
          <w:rFonts w:hint="eastAsia" w:ascii="仿宋" w:hAnsi="仿宋" w:eastAsia="仿宋" w:cs="仿宋"/>
          <w:sz w:val="24"/>
        </w:rPr>
      </w:pPr>
      <w:bookmarkStart w:id="47" w:name="_Toc3861"/>
      <w:r>
        <w:rPr>
          <w:rFonts w:hint="eastAsia" w:ascii="仿宋" w:hAnsi="仿宋" w:eastAsia="仿宋" w:cs="仿宋"/>
          <w:sz w:val="24"/>
        </w:rPr>
        <w:t>1.维护措施和要求</w:t>
      </w:r>
      <w:bookmarkEnd w:id="47"/>
    </w:p>
    <w:p w14:paraId="5FADF549">
      <w:pPr>
        <w:spacing w:line="360" w:lineRule="auto"/>
        <w:ind w:firstLine="480" w:firstLineChars="200"/>
        <w:rPr>
          <w:rFonts w:hint="eastAsia" w:ascii="仿宋" w:hAnsi="仿宋" w:eastAsia="仿宋" w:cs="仿宋"/>
          <w:sz w:val="24"/>
        </w:rPr>
      </w:pPr>
      <w:r>
        <w:rPr>
          <w:rFonts w:hint="eastAsia" w:ascii="仿宋" w:hAnsi="仿宋" w:eastAsia="仿宋" w:cs="仿宋"/>
          <w:sz w:val="24"/>
        </w:rPr>
        <w:t>（1）执行依据</w:t>
      </w:r>
    </w:p>
    <w:p w14:paraId="150D8ACE">
      <w:pPr>
        <w:spacing w:line="360" w:lineRule="auto"/>
        <w:ind w:firstLine="480" w:firstLineChars="200"/>
        <w:rPr>
          <w:rFonts w:hint="eastAsia" w:ascii="仿宋" w:hAnsi="仿宋" w:eastAsia="仿宋" w:cs="仿宋"/>
          <w:sz w:val="24"/>
        </w:rPr>
      </w:pPr>
      <w:r>
        <w:rPr>
          <w:rFonts w:hint="eastAsia" w:ascii="仿宋" w:hAnsi="仿宋" w:eastAsia="仿宋" w:cs="仿宋"/>
          <w:sz w:val="24"/>
        </w:rPr>
        <w:t>按照《中华人民共和国消防法》《建筑消防设施的维护管理》《社会消防技术服务管理规定》《重庆市消防条例》《重庆市消防设施管理规定》等国家、地方、行业、消防救援等机构所规定和要求的维护保养方式、方法、内容、程序、技术要求等开展维护保养工作。</w:t>
      </w:r>
    </w:p>
    <w:p w14:paraId="4046EEC8">
      <w:pPr>
        <w:spacing w:line="360" w:lineRule="auto"/>
        <w:ind w:firstLine="480" w:firstLineChars="200"/>
        <w:rPr>
          <w:rFonts w:hint="eastAsia" w:ascii="仿宋" w:hAnsi="仿宋" w:eastAsia="仿宋" w:cs="仿宋"/>
          <w:sz w:val="24"/>
        </w:rPr>
      </w:pPr>
      <w:r>
        <w:rPr>
          <w:rFonts w:hint="eastAsia" w:ascii="仿宋" w:hAnsi="仿宋" w:eastAsia="仿宋" w:cs="仿宋"/>
          <w:sz w:val="24"/>
        </w:rPr>
        <w:t>（2）实施要求</w:t>
      </w:r>
    </w:p>
    <w:p w14:paraId="1C2FC866">
      <w:pPr>
        <w:spacing w:line="360" w:lineRule="auto"/>
        <w:ind w:firstLine="480" w:firstLineChars="200"/>
        <w:rPr>
          <w:rFonts w:hint="eastAsia" w:ascii="仿宋" w:hAnsi="仿宋" w:eastAsia="仿宋" w:cs="仿宋"/>
          <w:sz w:val="24"/>
        </w:rPr>
      </w:pPr>
      <w:r>
        <w:rPr>
          <w:rFonts w:hint="eastAsia" w:ascii="仿宋" w:hAnsi="仿宋" w:eastAsia="仿宋" w:cs="仿宋"/>
          <w:sz w:val="24"/>
        </w:rPr>
        <w:t>根据年度维保计划于每月底提交下一月维保计划；月度检测增派技术人员配合实施。</w:t>
      </w:r>
    </w:p>
    <w:p w14:paraId="77BA3CA2">
      <w:pPr>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rPr>
        <w:t>（3）月度消防设备检测维保应当在每月25日前完成、并于次月5日前（节假日顺延）出具相关报告（包含：测试相关数据、隐患整改建议）保证建筑消防设施维护保养质量。</w:t>
      </w:r>
      <w:r>
        <w:rPr>
          <w:rFonts w:hint="eastAsia" w:ascii="仿宋" w:hAnsi="仿宋" w:eastAsia="仿宋" w:cs="仿宋"/>
          <w:sz w:val="24"/>
          <w:lang w:eastAsia="zh-CN"/>
        </w:rPr>
        <w:t>投标人</w:t>
      </w:r>
      <w:r>
        <w:rPr>
          <w:rFonts w:hint="eastAsia" w:ascii="仿宋" w:hAnsi="仿宋" w:eastAsia="仿宋" w:cs="仿宋"/>
          <w:sz w:val="24"/>
        </w:rPr>
        <w:t>根据</w:t>
      </w:r>
      <w:r>
        <w:rPr>
          <w:rFonts w:hint="eastAsia" w:ascii="仿宋" w:hAnsi="仿宋" w:eastAsia="仿宋" w:cs="仿宋"/>
          <w:sz w:val="24"/>
          <w:lang w:eastAsia="zh-CN"/>
        </w:rPr>
        <w:t>采购人</w:t>
      </w:r>
      <w:r>
        <w:rPr>
          <w:rFonts w:hint="eastAsia" w:ascii="仿宋" w:hAnsi="仿宋" w:eastAsia="仿宋" w:cs="仿宋"/>
          <w:sz w:val="24"/>
        </w:rPr>
        <w:t>要求免费制作消防设备相关标识标牌。</w:t>
      </w:r>
    </w:p>
    <w:p w14:paraId="5CC1A7A2">
      <w:pPr>
        <w:spacing w:line="360" w:lineRule="auto"/>
        <w:ind w:firstLine="480" w:firstLineChars="200"/>
        <w:outlineLvl w:val="1"/>
        <w:rPr>
          <w:rFonts w:hint="eastAsia" w:ascii="仿宋" w:hAnsi="仿宋" w:eastAsia="仿宋" w:cs="仿宋"/>
          <w:sz w:val="24"/>
        </w:rPr>
      </w:pPr>
      <w:bookmarkStart w:id="48" w:name="_Toc9938"/>
      <w:r>
        <w:rPr>
          <w:rFonts w:hint="eastAsia" w:ascii="仿宋" w:hAnsi="仿宋" w:eastAsia="仿宋" w:cs="仿宋"/>
          <w:sz w:val="24"/>
        </w:rPr>
        <w:t>2.相关费用约定</w:t>
      </w:r>
      <w:bookmarkEnd w:id="48"/>
    </w:p>
    <w:p w14:paraId="08F5BA40">
      <w:pPr>
        <w:spacing w:line="360" w:lineRule="auto"/>
        <w:ind w:firstLine="480" w:firstLineChars="200"/>
        <w:rPr>
          <w:rFonts w:hint="default" w:ascii="仿宋" w:hAnsi="仿宋" w:eastAsia="仿宋" w:cs="仿宋"/>
          <w:sz w:val="24"/>
          <w:lang w:val="en-US"/>
        </w:rPr>
      </w:pPr>
      <w:r>
        <w:rPr>
          <w:rFonts w:hint="eastAsia" w:ascii="仿宋" w:hAnsi="仿宋" w:eastAsia="仿宋" w:cs="仿宋"/>
          <w:sz w:val="24"/>
        </w:rPr>
        <w:t>（1）</w:t>
      </w:r>
      <w:r>
        <w:rPr>
          <w:rFonts w:hint="eastAsia" w:ascii="仿宋" w:hAnsi="仿宋" w:eastAsia="仿宋" w:cs="仿宋"/>
          <w:sz w:val="24"/>
          <w:lang w:eastAsia="zh-CN"/>
        </w:rPr>
        <w:t>采购人</w:t>
      </w:r>
      <w:r>
        <w:rPr>
          <w:rFonts w:hint="eastAsia" w:ascii="仿宋" w:hAnsi="仿宋" w:eastAsia="仿宋" w:cs="仿宋"/>
          <w:sz w:val="24"/>
        </w:rPr>
        <w:t>灭火器、疏散引导箱更换、维修费用由</w:t>
      </w:r>
      <w:r>
        <w:rPr>
          <w:rFonts w:hint="eastAsia" w:ascii="仿宋" w:hAnsi="仿宋" w:eastAsia="仿宋" w:cs="仿宋"/>
          <w:sz w:val="24"/>
          <w:lang w:eastAsia="zh-CN"/>
        </w:rPr>
        <w:t>投标人</w:t>
      </w:r>
      <w:r>
        <w:rPr>
          <w:rFonts w:hint="eastAsia" w:ascii="仿宋" w:hAnsi="仿宋" w:eastAsia="仿宋" w:cs="仿宋"/>
          <w:sz w:val="24"/>
        </w:rPr>
        <w:t>承担</w:t>
      </w:r>
      <w:r>
        <w:rPr>
          <w:rFonts w:hint="eastAsia" w:ascii="仿宋" w:hAnsi="仿宋" w:eastAsia="仿宋" w:cs="仿宋"/>
          <w:sz w:val="24"/>
          <w:lang w:eastAsia="zh-CN"/>
        </w:rPr>
        <w:t>，</w:t>
      </w:r>
      <w:r>
        <w:rPr>
          <w:rFonts w:hint="eastAsia" w:ascii="仿宋" w:hAnsi="仿宋" w:eastAsia="仿宋" w:cs="仿宋"/>
          <w:sz w:val="24"/>
          <w:lang w:val="en-US" w:eastAsia="zh-CN"/>
        </w:rPr>
        <w:t>更换及维修的灭火器和疏散引导箱须符合消防及采购人要求。</w:t>
      </w:r>
    </w:p>
    <w:p w14:paraId="3065E37F">
      <w:pPr>
        <w:spacing w:line="360" w:lineRule="auto"/>
        <w:ind w:firstLine="480" w:firstLineChars="200"/>
        <w:rPr>
          <w:rFonts w:hint="eastAsia" w:ascii="仿宋" w:hAnsi="仿宋" w:eastAsia="仿宋" w:cs="仿宋"/>
          <w:color w:val="auto"/>
          <w:sz w:val="24"/>
          <w:lang w:val="en-US" w:eastAsia="zh-CN"/>
        </w:rPr>
      </w:pPr>
      <w:r>
        <w:rPr>
          <w:rFonts w:hint="eastAsia" w:ascii="仿宋" w:hAnsi="仿宋" w:eastAsia="仿宋" w:cs="仿宋"/>
          <w:sz w:val="24"/>
        </w:rPr>
        <w:t>（2）除灭火器、疏散引导箱之外的单个消防设施设备基本费用：每次维修维护更换所需的单个消防设施设备造价在500元及以下的</w:t>
      </w:r>
      <w:r>
        <w:rPr>
          <w:rFonts w:hint="eastAsia" w:ascii="仿宋" w:hAnsi="仿宋" w:eastAsia="仿宋" w:cs="仿宋"/>
          <w:sz w:val="24"/>
          <w:lang w:eastAsia="zh-CN"/>
        </w:rPr>
        <w:t>（</w:t>
      </w:r>
      <w:r>
        <w:rPr>
          <w:rFonts w:hint="eastAsia" w:ascii="仿宋" w:hAnsi="仿宋" w:eastAsia="仿宋" w:cs="仿宋"/>
          <w:sz w:val="24"/>
          <w:lang w:val="en-US" w:eastAsia="zh-CN"/>
        </w:rPr>
        <w:t>见表 1（投标人免费维修、更换设施设备清单））</w:t>
      </w:r>
      <w:r>
        <w:rPr>
          <w:rFonts w:hint="eastAsia" w:ascii="仿宋" w:hAnsi="仿宋" w:eastAsia="仿宋" w:cs="仿宋"/>
          <w:sz w:val="24"/>
        </w:rPr>
        <w:t>，由</w:t>
      </w:r>
      <w:r>
        <w:rPr>
          <w:rFonts w:hint="eastAsia" w:ascii="仿宋" w:hAnsi="仿宋" w:eastAsia="仿宋" w:cs="仿宋"/>
          <w:sz w:val="24"/>
          <w:lang w:eastAsia="zh-CN"/>
        </w:rPr>
        <w:t>投标人</w:t>
      </w:r>
      <w:r>
        <w:rPr>
          <w:rFonts w:hint="eastAsia" w:ascii="仿宋" w:hAnsi="仿宋" w:eastAsia="仿宋" w:cs="仿宋"/>
          <w:color w:val="auto"/>
          <w:sz w:val="24"/>
        </w:rPr>
        <w:t>承担全部费用。基本费用以外的</w:t>
      </w:r>
      <w:r>
        <w:rPr>
          <w:rFonts w:hint="eastAsia" w:ascii="仿宋" w:hAnsi="仿宋" w:eastAsia="仿宋" w:cs="仿宋"/>
          <w:color w:val="auto"/>
          <w:sz w:val="24"/>
          <w:lang w:val="en-US" w:eastAsia="zh-CN"/>
        </w:rPr>
        <w:t>费用按照采购人采购管理办法执行。</w:t>
      </w:r>
    </w:p>
    <w:p w14:paraId="4233D9C6">
      <w:pPr>
        <w:spacing w:line="360" w:lineRule="auto"/>
        <w:ind w:firstLine="480" w:firstLineChars="200"/>
        <w:rPr>
          <w:rFonts w:hint="default" w:ascii="仿宋" w:hAnsi="仿宋" w:eastAsia="仿宋" w:cs="仿宋"/>
          <w:color w:val="auto"/>
          <w:sz w:val="24"/>
          <w:lang w:val="en-US" w:eastAsia="zh-CN"/>
        </w:rPr>
      </w:pPr>
    </w:p>
    <w:p w14:paraId="5FCA401B">
      <w:pPr>
        <w:pStyle w:val="16"/>
        <w:jc w:val="center"/>
        <w:rPr>
          <w:rFonts w:hint="eastAsia" w:eastAsia="宋体"/>
          <w:lang w:eastAsia="zh-CN"/>
        </w:rPr>
      </w:pPr>
      <w:r>
        <w:t xml:space="preserve">表 </w:t>
      </w:r>
      <w:r>
        <w:fldChar w:fldCharType="begin"/>
      </w:r>
      <w:r>
        <w:instrText xml:space="preserve"> SEQ 表 \* ARABIC </w:instrText>
      </w:r>
      <w:r>
        <w:fldChar w:fldCharType="separate"/>
      </w:r>
      <w:r>
        <w:t>1</w:t>
      </w:r>
      <w:r>
        <w:fldChar w:fldCharType="end"/>
      </w:r>
      <w:r>
        <w:rPr>
          <w:rFonts w:hint="eastAsia"/>
          <w:lang w:eastAsia="zh-CN"/>
        </w:rPr>
        <w:t>（投标人免费维修、更换设施设备</w:t>
      </w:r>
      <w:r>
        <w:rPr>
          <w:rFonts w:hint="eastAsia"/>
          <w:lang w:val="en-US" w:eastAsia="zh-CN"/>
        </w:rPr>
        <w:t>部分</w:t>
      </w:r>
      <w:r>
        <w:rPr>
          <w:rFonts w:hint="eastAsia"/>
          <w:lang w:eastAsia="zh-CN"/>
        </w:rPr>
        <w:t>清单）</w:t>
      </w: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6"/>
        <w:gridCol w:w="2827"/>
        <w:gridCol w:w="1164"/>
        <w:gridCol w:w="1699"/>
      </w:tblGrid>
      <w:tr w14:paraId="6B77D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059EE71C">
            <w:pPr>
              <w:rPr>
                <w:rFonts w:hint="eastAsia"/>
              </w:rPr>
            </w:pPr>
            <w:r>
              <w:rPr>
                <w:rFonts w:hint="eastAsia"/>
              </w:rPr>
              <w:t>序号</w:t>
            </w:r>
          </w:p>
        </w:tc>
        <w:tc>
          <w:tcPr>
            <w:tcW w:w="2827" w:type="dxa"/>
            <w:noWrap w:val="0"/>
            <w:vAlign w:val="top"/>
          </w:tcPr>
          <w:p w14:paraId="6CDC02AD">
            <w:pPr>
              <w:rPr>
                <w:rFonts w:hint="eastAsia"/>
              </w:rPr>
            </w:pPr>
            <w:r>
              <w:rPr>
                <w:rFonts w:hint="eastAsia"/>
              </w:rPr>
              <w:t>名称</w:t>
            </w:r>
          </w:p>
        </w:tc>
        <w:tc>
          <w:tcPr>
            <w:tcW w:w="1164" w:type="dxa"/>
            <w:noWrap w:val="0"/>
            <w:vAlign w:val="top"/>
          </w:tcPr>
          <w:p w14:paraId="10FD2759">
            <w:pPr>
              <w:rPr>
                <w:rFonts w:hint="eastAsia"/>
              </w:rPr>
            </w:pPr>
            <w:r>
              <w:rPr>
                <w:rFonts w:hint="eastAsia"/>
              </w:rPr>
              <w:t>单位</w:t>
            </w:r>
          </w:p>
        </w:tc>
        <w:tc>
          <w:tcPr>
            <w:tcW w:w="1699" w:type="dxa"/>
            <w:noWrap w:val="0"/>
            <w:vAlign w:val="top"/>
          </w:tcPr>
          <w:p w14:paraId="30721DDB">
            <w:pPr>
              <w:rPr>
                <w:rFonts w:hint="eastAsia" w:eastAsia="宋体"/>
                <w:lang w:eastAsia="zh-CN"/>
              </w:rPr>
            </w:pPr>
            <w:r>
              <w:rPr>
                <w:rFonts w:hint="eastAsia"/>
              </w:rPr>
              <w:t>单价</w:t>
            </w:r>
            <w:r>
              <w:rPr>
                <w:rFonts w:hint="eastAsia"/>
                <w:lang w:eastAsia="zh-CN"/>
              </w:rPr>
              <w:t>（</w:t>
            </w:r>
            <w:r>
              <w:rPr>
                <w:rFonts w:hint="eastAsia"/>
                <w:lang w:val="en-US" w:eastAsia="zh-CN"/>
              </w:rPr>
              <w:t>元</w:t>
            </w:r>
            <w:r>
              <w:rPr>
                <w:rFonts w:hint="eastAsia"/>
                <w:lang w:eastAsia="zh-CN"/>
              </w:rPr>
              <w:t>）</w:t>
            </w:r>
          </w:p>
        </w:tc>
      </w:tr>
      <w:tr w14:paraId="544D3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400BAD60">
            <w:pPr>
              <w:rPr>
                <w:rFonts w:hint="eastAsia"/>
                <w:color w:val="auto"/>
              </w:rPr>
            </w:pPr>
            <w:r>
              <w:rPr>
                <w:rFonts w:hint="eastAsia"/>
                <w:color w:val="auto"/>
              </w:rPr>
              <w:t>1</w:t>
            </w:r>
          </w:p>
        </w:tc>
        <w:tc>
          <w:tcPr>
            <w:tcW w:w="2827" w:type="dxa"/>
            <w:noWrap w:val="0"/>
            <w:vAlign w:val="top"/>
          </w:tcPr>
          <w:p w14:paraId="51DE84F6">
            <w:pPr>
              <w:rPr>
                <w:rFonts w:hint="eastAsia"/>
                <w:color w:val="auto"/>
              </w:rPr>
            </w:pPr>
            <w:r>
              <w:rPr>
                <w:rFonts w:hint="eastAsia"/>
                <w:color w:val="auto"/>
              </w:rPr>
              <w:t>感烟探测器</w:t>
            </w:r>
          </w:p>
        </w:tc>
        <w:tc>
          <w:tcPr>
            <w:tcW w:w="1164" w:type="dxa"/>
            <w:noWrap w:val="0"/>
            <w:vAlign w:val="top"/>
          </w:tcPr>
          <w:p w14:paraId="158DF9FA">
            <w:pPr>
              <w:rPr>
                <w:rFonts w:hint="eastAsia"/>
                <w:color w:val="auto"/>
              </w:rPr>
            </w:pPr>
            <w:r>
              <w:rPr>
                <w:rFonts w:hint="eastAsia"/>
                <w:color w:val="auto"/>
              </w:rPr>
              <w:t>个</w:t>
            </w:r>
          </w:p>
        </w:tc>
        <w:tc>
          <w:tcPr>
            <w:tcW w:w="1699" w:type="dxa"/>
            <w:noWrap w:val="0"/>
            <w:vAlign w:val="top"/>
          </w:tcPr>
          <w:p w14:paraId="686BB38B">
            <w:pPr>
              <w:rPr>
                <w:rFonts w:hint="eastAsia"/>
                <w:color w:val="auto"/>
              </w:rPr>
            </w:pPr>
            <w:r>
              <w:rPr>
                <w:color w:val="auto"/>
              </w:rPr>
              <w:t>100</w:t>
            </w:r>
          </w:p>
        </w:tc>
      </w:tr>
      <w:tr w14:paraId="67A3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7FEF81A9">
            <w:pPr>
              <w:rPr>
                <w:rFonts w:hint="eastAsia"/>
                <w:color w:val="auto"/>
              </w:rPr>
            </w:pPr>
            <w:r>
              <w:rPr>
                <w:rFonts w:hint="eastAsia"/>
                <w:color w:val="auto"/>
              </w:rPr>
              <w:t>2</w:t>
            </w:r>
          </w:p>
        </w:tc>
        <w:tc>
          <w:tcPr>
            <w:tcW w:w="2827" w:type="dxa"/>
            <w:noWrap w:val="0"/>
            <w:vAlign w:val="top"/>
          </w:tcPr>
          <w:p w14:paraId="673ED496">
            <w:pPr>
              <w:rPr>
                <w:rFonts w:hint="eastAsia"/>
                <w:color w:val="auto"/>
              </w:rPr>
            </w:pPr>
            <w:r>
              <w:rPr>
                <w:rFonts w:hint="eastAsia"/>
                <w:color w:val="auto"/>
              </w:rPr>
              <w:t>感温探测器</w:t>
            </w:r>
          </w:p>
        </w:tc>
        <w:tc>
          <w:tcPr>
            <w:tcW w:w="1164" w:type="dxa"/>
            <w:noWrap w:val="0"/>
            <w:vAlign w:val="top"/>
          </w:tcPr>
          <w:p w14:paraId="0CAF2145">
            <w:pPr>
              <w:rPr>
                <w:rFonts w:hint="eastAsia"/>
                <w:color w:val="auto"/>
              </w:rPr>
            </w:pPr>
            <w:r>
              <w:rPr>
                <w:rFonts w:hint="eastAsia"/>
                <w:color w:val="auto"/>
              </w:rPr>
              <w:t>个</w:t>
            </w:r>
          </w:p>
        </w:tc>
        <w:tc>
          <w:tcPr>
            <w:tcW w:w="1699" w:type="dxa"/>
            <w:noWrap w:val="0"/>
            <w:vAlign w:val="top"/>
          </w:tcPr>
          <w:p w14:paraId="4F193DEA">
            <w:pPr>
              <w:rPr>
                <w:rFonts w:hint="eastAsia"/>
                <w:color w:val="auto"/>
              </w:rPr>
            </w:pPr>
            <w:r>
              <w:rPr>
                <w:color w:val="auto"/>
              </w:rPr>
              <w:t>100</w:t>
            </w:r>
          </w:p>
        </w:tc>
      </w:tr>
      <w:tr w14:paraId="7CFF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5BF10E01">
            <w:pPr>
              <w:rPr>
                <w:rFonts w:hint="eastAsia"/>
                <w:color w:val="auto"/>
              </w:rPr>
            </w:pPr>
            <w:r>
              <w:rPr>
                <w:rFonts w:hint="eastAsia"/>
                <w:color w:val="auto"/>
              </w:rPr>
              <w:t>3</w:t>
            </w:r>
          </w:p>
        </w:tc>
        <w:tc>
          <w:tcPr>
            <w:tcW w:w="2827" w:type="dxa"/>
            <w:noWrap w:val="0"/>
            <w:vAlign w:val="top"/>
          </w:tcPr>
          <w:p w14:paraId="57BFCEC7">
            <w:pPr>
              <w:rPr>
                <w:rFonts w:hint="eastAsia"/>
                <w:color w:val="auto"/>
              </w:rPr>
            </w:pPr>
            <w:r>
              <w:rPr>
                <w:rFonts w:hint="eastAsia"/>
                <w:color w:val="auto"/>
              </w:rPr>
              <w:t>手动报警器</w:t>
            </w:r>
          </w:p>
        </w:tc>
        <w:tc>
          <w:tcPr>
            <w:tcW w:w="1164" w:type="dxa"/>
            <w:noWrap w:val="0"/>
            <w:vAlign w:val="top"/>
          </w:tcPr>
          <w:p w14:paraId="54807725">
            <w:pPr>
              <w:rPr>
                <w:rFonts w:hint="eastAsia"/>
                <w:color w:val="auto"/>
              </w:rPr>
            </w:pPr>
            <w:r>
              <w:rPr>
                <w:rFonts w:hint="eastAsia"/>
                <w:color w:val="auto"/>
              </w:rPr>
              <w:t>个</w:t>
            </w:r>
          </w:p>
        </w:tc>
        <w:tc>
          <w:tcPr>
            <w:tcW w:w="1699" w:type="dxa"/>
            <w:noWrap w:val="0"/>
            <w:vAlign w:val="top"/>
          </w:tcPr>
          <w:p w14:paraId="7E296506">
            <w:pPr>
              <w:rPr>
                <w:rFonts w:hint="eastAsia"/>
                <w:color w:val="auto"/>
              </w:rPr>
            </w:pPr>
            <w:r>
              <w:rPr>
                <w:rFonts w:hint="eastAsia"/>
                <w:color w:val="auto"/>
              </w:rPr>
              <w:t>1</w:t>
            </w:r>
            <w:r>
              <w:rPr>
                <w:color w:val="auto"/>
              </w:rPr>
              <w:t>30</w:t>
            </w:r>
          </w:p>
        </w:tc>
      </w:tr>
      <w:tr w14:paraId="55D86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6EF83A91">
            <w:pPr>
              <w:rPr>
                <w:rFonts w:hint="eastAsia"/>
                <w:color w:val="auto"/>
              </w:rPr>
            </w:pPr>
            <w:r>
              <w:rPr>
                <w:rFonts w:hint="eastAsia"/>
                <w:color w:val="auto"/>
              </w:rPr>
              <w:t>4</w:t>
            </w:r>
          </w:p>
        </w:tc>
        <w:tc>
          <w:tcPr>
            <w:tcW w:w="2827" w:type="dxa"/>
            <w:noWrap w:val="0"/>
            <w:vAlign w:val="top"/>
          </w:tcPr>
          <w:p w14:paraId="159D186E">
            <w:pPr>
              <w:rPr>
                <w:rFonts w:hint="eastAsia"/>
                <w:color w:val="auto"/>
              </w:rPr>
            </w:pPr>
            <w:r>
              <w:rPr>
                <w:rFonts w:hint="eastAsia"/>
                <w:color w:val="auto"/>
              </w:rPr>
              <w:t>消火栓启泵按钮</w:t>
            </w:r>
          </w:p>
        </w:tc>
        <w:tc>
          <w:tcPr>
            <w:tcW w:w="1164" w:type="dxa"/>
            <w:noWrap w:val="0"/>
            <w:vAlign w:val="top"/>
          </w:tcPr>
          <w:p w14:paraId="128A6FEE">
            <w:pPr>
              <w:rPr>
                <w:rFonts w:hint="eastAsia"/>
                <w:color w:val="auto"/>
              </w:rPr>
            </w:pPr>
            <w:r>
              <w:rPr>
                <w:rFonts w:hint="eastAsia"/>
                <w:color w:val="auto"/>
              </w:rPr>
              <w:t>个</w:t>
            </w:r>
          </w:p>
        </w:tc>
        <w:tc>
          <w:tcPr>
            <w:tcW w:w="1699" w:type="dxa"/>
            <w:noWrap w:val="0"/>
            <w:vAlign w:val="top"/>
          </w:tcPr>
          <w:p w14:paraId="7A38A337">
            <w:pPr>
              <w:rPr>
                <w:rFonts w:hint="eastAsia"/>
                <w:color w:val="auto"/>
              </w:rPr>
            </w:pPr>
            <w:r>
              <w:rPr>
                <w:rFonts w:hint="eastAsia"/>
                <w:color w:val="auto"/>
              </w:rPr>
              <w:t>1</w:t>
            </w:r>
            <w:r>
              <w:rPr>
                <w:color w:val="auto"/>
              </w:rPr>
              <w:t>50</w:t>
            </w:r>
          </w:p>
        </w:tc>
      </w:tr>
      <w:tr w14:paraId="47F6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1227D969">
            <w:pPr>
              <w:rPr>
                <w:rFonts w:hint="eastAsia"/>
                <w:color w:val="auto"/>
              </w:rPr>
            </w:pPr>
            <w:r>
              <w:rPr>
                <w:rFonts w:hint="eastAsia"/>
                <w:color w:val="auto"/>
              </w:rPr>
              <w:t>5</w:t>
            </w:r>
          </w:p>
        </w:tc>
        <w:tc>
          <w:tcPr>
            <w:tcW w:w="2827" w:type="dxa"/>
            <w:noWrap w:val="0"/>
            <w:vAlign w:val="top"/>
          </w:tcPr>
          <w:p w14:paraId="5EE59BE7">
            <w:pPr>
              <w:rPr>
                <w:rFonts w:hint="eastAsia"/>
                <w:color w:val="auto"/>
              </w:rPr>
            </w:pPr>
            <w:r>
              <w:rPr>
                <w:rFonts w:hint="eastAsia"/>
                <w:color w:val="auto"/>
              </w:rPr>
              <w:t>声光报警器</w:t>
            </w:r>
          </w:p>
        </w:tc>
        <w:tc>
          <w:tcPr>
            <w:tcW w:w="1164" w:type="dxa"/>
            <w:noWrap w:val="0"/>
            <w:vAlign w:val="top"/>
          </w:tcPr>
          <w:p w14:paraId="3EDAD6CC">
            <w:pPr>
              <w:rPr>
                <w:color w:val="auto"/>
              </w:rPr>
            </w:pPr>
            <w:r>
              <w:rPr>
                <w:rFonts w:hint="eastAsia"/>
                <w:color w:val="auto"/>
              </w:rPr>
              <w:t>个</w:t>
            </w:r>
          </w:p>
        </w:tc>
        <w:tc>
          <w:tcPr>
            <w:tcW w:w="1699" w:type="dxa"/>
            <w:noWrap w:val="0"/>
            <w:vAlign w:val="top"/>
          </w:tcPr>
          <w:p w14:paraId="3681F61C">
            <w:pPr>
              <w:rPr>
                <w:rFonts w:hint="eastAsia"/>
                <w:color w:val="auto"/>
              </w:rPr>
            </w:pPr>
            <w:r>
              <w:rPr>
                <w:rFonts w:hint="eastAsia"/>
                <w:color w:val="auto"/>
              </w:rPr>
              <w:t>1</w:t>
            </w:r>
            <w:r>
              <w:rPr>
                <w:color w:val="auto"/>
              </w:rPr>
              <w:t>50</w:t>
            </w:r>
          </w:p>
        </w:tc>
      </w:tr>
      <w:tr w14:paraId="2C823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42C752F3">
            <w:pPr>
              <w:rPr>
                <w:rFonts w:hint="eastAsia"/>
                <w:color w:val="auto"/>
              </w:rPr>
            </w:pPr>
            <w:r>
              <w:rPr>
                <w:rFonts w:hint="eastAsia"/>
                <w:color w:val="auto"/>
              </w:rPr>
              <w:t>6</w:t>
            </w:r>
          </w:p>
        </w:tc>
        <w:tc>
          <w:tcPr>
            <w:tcW w:w="2827" w:type="dxa"/>
            <w:noWrap w:val="0"/>
            <w:vAlign w:val="top"/>
          </w:tcPr>
          <w:p w14:paraId="79E21D71">
            <w:pPr>
              <w:rPr>
                <w:rFonts w:hint="eastAsia"/>
                <w:color w:val="auto"/>
              </w:rPr>
            </w:pPr>
            <w:r>
              <w:rPr>
                <w:rFonts w:hint="eastAsia"/>
                <w:color w:val="auto"/>
              </w:rPr>
              <w:t>消防电话</w:t>
            </w:r>
          </w:p>
        </w:tc>
        <w:tc>
          <w:tcPr>
            <w:tcW w:w="1164" w:type="dxa"/>
            <w:noWrap w:val="0"/>
            <w:vAlign w:val="top"/>
          </w:tcPr>
          <w:p w14:paraId="39689B2B">
            <w:pPr>
              <w:rPr>
                <w:color w:val="auto"/>
              </w:rPr>
            </w:pPr>
            <w:r>
              <w:rPr>
                <w:rFonts w:hint="eastAsia"/>
                <w:color w:val="auto"/>
              </w:rPr>
              <w:t>个</w:t>
            </w:r>
          </w:p>
        </w:tc>
        <w:tc>
          <w:tcPr>
            <w:tcW w:w="1699" w:type="dxa"/>
            <w:noWrap w:val="0"/>
            <w:vAlign w:val="top"/>
          </w:tcPr>
          <w:p w14:paraId="1BE179E7">
            <w:pPr>
              <w:rPr>
                <w:rFonts w:hint="eastAsia"/>
                <w:color w:val="auto"/>
              </w:rPr>
            </w:pPr>
            <w:r>
              <w:rPr>
                <w:color w:val="auto"/>
              </w:rPr>
              <w:t>90</w:t>
            </w:r>
          </w:p>
        </w:tc>
      </w:tr>
      <w:tr w14:paraId="47F4F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08EEF58A">
            <w:pPr>
              <w:rPr>
                <w:rFonts w:hint="eastAsia"/>
                <w:color w:val="auto"/>
              </w:rPr>
            </w:pPr>
            <w:r>
              <w:rPr>
                <w:rFonts w:hint="eastAsia"/>
                <w:color w:val="auto"/>
              </w:rPr>
              <w:t>7</w:t>
            </w:r>
          </w:p>
        </w:tc>
        <w:tc>
          <w:tcPr>
            <w:tcW w:w="2827" w:type="dxa"/>
            <w:noWrap w:val="0"/>
            <w:vAlign w:val="top"/>
          </w:tcPr>
          <w:p w14:paraId="4CCB073B">
            <w:pPr>
              <w:rPr>
                <w:rFonts w:hint="eastAsia"/>
                <w:color w:val="auto"/>
              </w:rPr>
            </w:pPr>
            <w:r>
              <w:rPr>
                <w:rFonts w:hint="eastAsia"/>
                <w:color w:val="auto"/>
              </w:rPr>
              <w:t>火警广播扬声器</w:t>
            </w:r>
          </w:p>
        </w:tc>
        <w:tc>
          <w:tcPr>
            <w:tcW w:w="1164" w:type="dxa"/>
            <w:noWrap w:val="0"/>
            <w:vAlign w:val="top"/>
          </w:tcPr>
          <w:p w14:paraId="574C0B9A">
            <w:pPr>
              <w:rPr>
                <w:color w:val="auto"/>
              </w:rPr>
            </w:pPr>
            <w:r>
              <w:rPr>
                <w:rFonts w:hint="eastAsia"/>
                <w:color w:val="auto"/>
              </w:rPr>
              <w:t>个</w:t>
            </w:r>
          </w:p>
        </w:tc>
        <w:tc>
          <w:tcPr>
            <w:tcW w:w="1699" w:type="dxa"/>
            <w:noWrap w:val="0"/>
            <w:vAlign w:val="top"/>
          </w:tcPr>
          <w:p w14:paraId="0F230A7D">
            <w:pPr>
              <w:rPr>
                <w:rFonts w:hint="eastAsia"/>
                <w:color w:val="auto"/>
              </w:rPr>
            </w:pPr>
            <w:r>
              <w:rPr>
                <w:color w:val="auto"/>
              </w:rPr>
              <w:t>90</w:t>
            </w:r>
          </w:p>
        </w:tc>
      </w:tr>
      <w:tr w14:paraId="21A2B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1BF2A981">
            <w:pPr>
              <w:rPr>
                <w:rFonts w:hint="eastAsia"/>
                <w:color w:val="auto"/>
              </w:rPr>
            </w:pPr>
            <w:r>
              <w:rPr>
                <w:rFonts w:hint="eastAsia"/>
                <w:color w:val="auto"/>
              </w:rPr>
              <w:t>8</w:t>
            </w:r>
          </w:p>
        </w:tc>
        <w:tc>
          <w:tcPr>
            <w:tcW w:w="2827" w:type="dxa"/>
            <w:noWrap w:val="0"/>
            <w:vAlign w:val="top"/>
          </w:tcPr>
          <w:p w14:paraId="23CC1DBA">
            <w:pPr>
              <w:rPr>
                <w:rFonts w:hint="eastAsia"/>
                <w:color w:val="auto"/>
              </w:rPr>
            </w:pPr>
            <w:r>
              <w:rPr>
                <w:rFonts w:hint="eastAsia"/>
                <w:color w:val="auto"/>
              </w:rPr>
              <w:t>输入、输出模块</w:t>
            </w:r>
          </w:p>
        </w:tc>
        <w:tc>
          <w:tcPr>
            <w:tcW w:w="1164" w:type="dxa"/>
            <w:noWrap w:val="0"/>
            <w:vAlign w:val="top"/>
          </w:tcPr>
          <w:p w14:paraId="15E1F96D">
            <w:pPr>
              <w:rPr>
                <w:color w:val="auto"/>
              </w:rPr>
            </w:pPr>
            <w:r>
              <w:rPr>
                <w:rFonts w:hint="eastAsia"/>
                <w:color w:val="auto"/>
              </w:rPr>
              <w:t>个</w:t>
            </w:r>
          </w:p>
        </w:tc>
        <w:tc>
          <w:tcPr>
            <w:tcW w:w="1699" w:type="dxa"/>
            <w:noWrap w:val="0"/>
            <w:vAlign w:val="top"/>
          </w:tcPr>
          <w:p w14:paraId="17B888E3">
            <w:pPr>
              <w:rPr>
                <w:rFonts w:hint="eastAsia"/>
                <w:color w:val="auto"/>
              </w:rPr>
            </w:pPr>
            <w:r>
              <w:rPr>
                <w:rFonts w:hint="eastAsia"/>
                <w:color w:val="auto"/>
              </w:rPr>
              <w:t>3</w:t>
            </w:r>
            <w:r>
              <w:rPr>
                <w:color w:val="auto"/>
              </w:rPr>
              <w:t>00</w:t>
            </w:r>
          </w:p>
        </w:tc>
      </w:tr>
      <w:tr w14:paraId="3357E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24D00B21">
            <w:pPr>
              <w:rPr>
                <w:rFonts w:hint="eastAsia"/>
                <w:color w:val="auto"/>
              </w:rPr>
            </w:pPr>
            <w:r>
              <w:rPr>
                <w:rFonts w:hint="eastAsia"/>
                <w:color w:val="auto"/>
              </w:rPr>
              <w:t>9</w:t>
            </w:r>
          </w:p>
        </w:tc>
        <w:tc>
          <w:tcPr>
            <w:tcW w:w="2827" w:type="dxa"/>
            <w:noWrap w:val="0"/>
            <w:vAlign w:val="top"/>
          </w:tcPr>
          <w:p w14:paraId="2C1DECB0">
            <w:pPr>
              <w:rPr>
                <w:rFonts w:hint="eastAsia"/>
                <w:color w:val="auto"/>
              </w:rPr>
            </w:pPr>
            <w:r>
              <w:rPr>
                <w:rFonts w:hint="eastAsia"/>
                <w:color w:val="auto"/>
              </w:rPr>
              <w:t>双输入、输出模块</w:t>
            </w:r>
          </w:p>
        </w:tc>
        <w:tc>
          <w:tcPr>
            <w:tcW w:w="1164" w:type="dxa"/>
            <w:noWrap w:val="0"/>
            <w:vAlign w:val="top"/>
          </w:tcPr>
          <w:p w14:paraId="355BA494">
            <w:pPr>
              <w:rPr>
                <w:color w:val="auto"/>
              </w:rPr>
            </w:pPr>
            <w:r>
              <w:rPr>
                <w:rFonts w:hint="eastAsia"/>
                <w:color w:val="auto"/>
              </w:rPr>
              <w:t>个</w:t>
            </w:r>
          </w:p>
        </w:tc>
        <w:tc>
          <w:tcPr>
            <w:tcW w:w="1699" w:type="dxa"/>
            <w:noWrap w:val="0"/>
            <w:vAlign w:val="top"/>
          </w:tcPr>
          <w:p w14:paraId="30C5AE22">
            <w:pPr>
              <w:rPr>
                <w:rFonts w:hint="eastAsia"/>
                <w:color w:val="auto"/>
              </w:rPr>
            </w:pPr>
            <w:r>
              <w:rPr>
                <w:rFonts w:hint="eastAsia"/>
                <w:color w:val="auto"/>
              </w:rPr>
              <w:t>4</w:t>
            </w:r>
            <w:r>
              <w:rPr>
                <w:color w:val="auto"/>
              </w:rPr>
              <w:t>30</w:t>
            </w:r>
          </w:p>
        </w:tc>
      </w:tr>
      <w:tr w14:paraId="79954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47FB94C4">
            <w:pPr>
              <w:rPr>
                <w:rFonts w:hint="eastAsia"/>
                <w:color w:val="auto"/>
              </w:rPr>
            </w:pPr>
            <w:r>
              <w:rPr>
                <w:rFonts w:hint="eastAsia"/>
                <w:color w:val="auto"/>
              </w:rPr>
              <w:t>1</w:t>
            </w:r>
            <w:r>
              <w:rPr>
                <w:color w:val="auto"/>
              </w:rPr>
              <w:t>0</w:t>
            </w:r>
          </w:p>
        </w:tc>
        <w:tc>
          <w:tcPr>
            <w:tcW w:w="2827" w:type="dxa"/>
            <w:noWrap w:val="0"/>
            <w:vAlign w:val="top"/>
          </w:tcPr>
          <w:p w14:paraId="4117F84F">
            <w:pPr>
              <w:rPr>
                <w:rFonts w:hint="eastAsia"/>
                <w:color w:val="auto"/>
              </w:rPr>
            </w:pPr>
            <w:r>
              <w:rPr>
                <w:rFonts w:hint="eastAsia"/>
                <w:color w:val="auto"/>
              </w:rPr>
              <w:t>防火门门磁开关</w:t>
            </w:r>
          </w:p>
        </w:tc>
        <w:tc>
          <w:tcPr>
            <w:tcW w:w="1164" w:type="dxa"/>
            <w:noWrap w:val="0"/>
            <w:vAlign w:val="top"/>
          </w:tcPr>
          <w:p w14:paraId="1F9EA3F2">
            <w:pPr>
              <w:rPr>
                <w:color w:val="auto"/>
              </w:rPr>
            </w:pPr>
            <w:r>
              <w:rPr>
                <w:rFonts w:hint="eastAsia"/>
                <w:color w:val="auto"/>
              </w:rPr>
              <w:t>个</w:t>
            </w:r>
          </w:p>
        </w:tc>
        <w:tc>
          <w:tcPr>
            <w:tcW w:w="1699" w:type="dxa"/>
            <w:noWrap w:val="0"/>
            <w:vAlign w:val="top"/>
          </w:tcPr>
          <w:p w14:paraId="40C6E4F9">
            <w:pPr>
              <w:rPr>
                <w:rFonts w:hint="eastAsia"/>
                <w:color w:val="auto"/>
              </w:rPr>
            </w:pPr>
            <w:r>
              <w:rPr>
                <w:rFonts w:hint="eastAsia"/>
                <w:color w:val="auto"/>
              </w:rPr>
              <w:t>5</w:t>
            </w:r>
            <w:r>
              <w:rPr>
                <w:color w:val="auto"/>
              </w:rPr>
              <w:t>0</w:t>
            </w:r>
          </w:p>
        </w:tc>
      </w:tr>
      <w:tr w14:paraId="064D0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019ABF08">
            <w:pPr>
              <w:rPr>
                <w:rFonts w:hint="eastAsia"/>
                <w:color w:val="auto"/>
              </w:rPr>
            </w:pPr>
            <w:r>
              <w:rPr>
                <w:rFonts w:hint="eastAsia"/>
                <w:color w:val="auto"/>
              </w:rPr>
              <w:t>1</w:t>
            </w:r>
            <w:r>
              <w:rPr>
                <w:color w:val="auto"/>
              </w:rPr>
              <w:t>1</w:t>
            </w:r>
          </w:p>
        </w:tc>
        <w:tc>
          <w:tcPr>
            <w:tcW w:w="2827" w:type="dxa"/>
            <w:noWrap w:val="0"/>
            <w:vAlign w:val="top"/>
          </w:tcPr>
          <w:p w14:paraId="6B8D3320">
            <w:pPr>
              <w:rPr>
                <w:rFonts w:hint="eastAsia"/>
                <w:color w:val="auto"/>
              </w:rPr>
            </w:pPr>
            <w:r>
              <w:rPr>
                <w:rFonts w:hint="eastAsia"/>
                <w:color w:val="auto"/>
              </w:rPr>
              <w:t>防火门释放器</w:t>
            </w:r>
          </w:p>
        </w:tc>
        <w:tc>
          <w:tcPr>
            <w:tcW w:w="1164" w:type="dxa"/>
            <w:noWrap w:val="0"/>
            <w:vAlign w:val="top"/>
          </w:tcPr>
          <w:p w14:paraId="5DFC00FF">
            <w:pPr>
              <w:rPr>
                <w:color w:val="auto"/>
              </w:rPr>
            </w:pPr>
            <w:r>
              <w:rPr>
                <w:rFonts w:hint="eastAsia"/>
                <w:color w:val="auto"/>
              </w:rPr>
              <w:t>个</w:t>
            </w:r>
          </w:p>
        </w:tc>
        <w:tc>
          <w:tcPr>
            <w:tcW w:w="1699" w:type="dxa"/>
            <w:noWrap w:val="0"/>
            <w:vAlign w:val="top"/>
          </w:tcPr>
          <w:p w14:paraId="04F9AA6D">
            <w:pPr>
              <w:rPr>
                <w:rFonts w:hint="eastAsia"/>
                <w:color w:val="auto"/>
              </w:rPr>
            </w:pPr>
            <w:r>
              <w:rPr>
                <w:rFonts w:hint="eastAsia"/>
                <w:color w:val="auto"/>
              </w:rPr>
              <w:t>3</w:t>
            </w:r>
            <w:r>
              <w:rPr>
                <w:color w:val="auto"/>
              </w:rPr>
              <w:t>00</w:t>
            </w:r>
          </w:p>
        </w:tc>
      </w:tr>
      <w:tr w14:paraId="3571B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76DCF6F0">
            <w:pPr>
              <w:rPr>
                <w:rFonts w:hint="eastAsia"/>
                <w:color w:val="auto"/>
              </w:rPr>
            </w:pPr>
            <w:r>
              <w:rPr>
                <w:rFonts w:hint="eastAsia"/>
                <w:color w:val="auto"/>
              </w:rPr>
              <w:t>1</w:t>
            </w:r>
            <w:r>
              <w:rPr>
                <w:color w:val="auto"/>
              </w:rPr>
              <w:t>2</w:t>
            </w:r>
          </w:p>
        </w:tc>
        <w:tc>
          <w:tcPr>
            <w:tcW w:w="2827" w:type="dxa"/>
            <w:noWrap w:val="0"/>
            <w:vAlign w:val="top"/>
          </w:tcPr>
          <w:p w14:paraId="45112153">
            <w:pPr>
              <w:rPr>
                <w:rFonts w:hint="eastAsia"/>
                <w:color w:val="auto"/>
              </w:rPr>
            </w:pPr>
            <w:r>
              <w:rPr>
                <w:rFonts w:hint="eastAsia"/>
                <w:color w:val="auto"/>
              </w:rPr>
              <w:t>电气火灾监控器</w:t>
            </w:r>
          </w:p>
        </w:tc>
        <w:tc>
          <w:tcPr>
            <w:tcW w:w="1164" w:type="dxa"/>
            <w:noWrap w:val="0"/>
            <w:vAlign w:val="top"/>
          </w:tcPr>
          <w:p w14:paraId="22722EBE">
            <w:pPr>
              <w:rPr>
                <w:color w:val="auto"/>
              </w:rPr>
            </w:pPr>
            <w:r>
              <w:rPr>
                <w:rFonts w:hint="eastAsia"/>
                <w:color w:val="auto"/>
              </w:rPr>
              <w:t>个</w:t>
            </w:r>
          </w:p>
        </w:tc>
        <w:tc>
          <w:tcPr>
            <w:tcW w:w="1699" w:type="dxa"/>
            <w:noWrap w:val="0"/>
            <w:vAlign w:val="top"/>
          </w:tcPr>
          <w:p w14:paraId="18145A0D">
            <w:pPr>
              <w:rPr>
                <w:rFonts w:hint="eastAsia"/>
                <w:color w:val="auto"/>
              </w:rPr>
            </w:pPr>
            <w:r>
              <w:rPr>
                <w:rFonts w:hint="eastAsia"/>
                <w:color w:val="auto"/>
              </w:rPr>
              <w:t>3</w:t>
            </w:r>
            <w:r>
              <w:rPr>
                <w:color w:val="auto"/>
              </w:rPr>
              <w:t>00</w:t>
            </w:r>
          </w:p>
        </w:tc>
      </w:tr>
      <w:tr w14:paraId="6F992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3B6DB9A5">
            <w:pPr>
              <w:rPr>
                <w:rFonts w:hint="eastAsia"/>
                <w:color w:val="auto"/>
              </w:rPr>
            </w:pPr>
            <w:r>
              <w:rPr>
                <w:rFonts w:hint="eastAsia"/>
                <w:color w:val="auto"/>
              </w:rPr>
              <w:t>1</w:t>
            </w:r>
            <w:r>
              <w:rPr>
                <w:color w:val="auto"/>
              </w:rPr>
              <w:t>3</w:t>
            </w:r>
          </w:p>
        </w:tc>
        <w:tc>
          <w:tcPr>
            <w:tcW w:w="2827" w:type="dxa"/>
            <w:noWrap w:val="0"/>
            <w:vAlign w:val="top"/>
          </w:tcPr>
          <w:p w14:paraId="60D86868">
            <w:pPr>
              <w:rPr>
                <w:rFonts w:hint="eastAsia"/>
                <w:color w:val="auto"/>
              </w:rPr>
            </w:pPr>
            <w:r>
              <w:rPr>
                <w:rFonts w:hint="eastAsia"/>
                <w:color w:val="auto"/>
              </w:rPr>
              <w:t>探测双电源型探测器</w:t>
            </w:r>
          </w:p>
        </w:tc>
        <w:tc>
          <w:tcPr>
            <w:tcW w:w="1164" w:type="dxa"/>
            <w:noWrap w:val="0"/>
            <w:vAlign w:val="top"/>
          </w:tcPr>
          <w:p w14:paraId="207A9D1D">
            <w:pPr>
              <w:rPr>
                <w:color w:val="auto"/>
              </w:rPr>
            </w:pPr>
            <w:r>
              <w:rPr>
                <w:rFonts w:hint="eastAsia"/>
                <w:color w:val="auto"/>
              </w:rPr>
              <w:t>个</w:t>
            </w:r>
          </w:p>
        </w:tc>
        <w:tc>
          <w:tcPr>
            <w:tcW w:w="1699" w:type="dxa"/>
            <w:noWrap w:val="0"/>
            <w:vAlign w:val="top"/>
          </w:tcPr>
          <w:p w14:paraId="6543E112">
            <w:pPr>
              <w:rPr>
                <w:rFonts w:hint="eastAsia"/>
                <w:color w:val="auto"/>
              </w:rPr>
            </w:pPr>
            <w:r>
              <w:rPr>
                <w:rFonts w:hint="eastAsia"/>
                <w:color w:val="auto"/>
              </w:rPr>
              <w:t>3</w:t>
            </w:r>
            <w:r>
              <w:rPr>
                <w:color w:val="auto"/>
              </w:rPr>
              <w:t>00</w:t>
            </w:r>
          </w:p>
        </w:tc>
      </w:tr>
      <w:tr w14:paraId="5573E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2897BB27">
            <w:pPr>
              <w:rPr>
                <w:rFonts w:hint="eastAsia"/>
                <w:color w:val="auto"/>
              </w:rPr>
            </w:pPr>
            <w:r>
              <w:rPr>
                <w:rFonts w:hint="eastAsia"/>
                <w:color w:val="auto"/>
              </w:rPr>
              <w:t>1</w:t>
            </w:r>
            <w:r>
              <w:rPr>
                <w:color w:val="auto"/>
              </w:rPr>
              <w:t>4</w:t>
            </w:r>
          </w:p>
        </w:tc>
        <w:tc>
          <w:tcPr>
            <w:tcW w:w="2827" w:type="dxa"/>
            <w:noWrap w:val="0"/>
            <w:vAlign w:val="top"/>
          </w:tcPr>
          <w:p w14:paraId="4721AF39">
            <w:pPr>
              <w:rPr>
                <w:rFonts w:hint="eastAsia"/>
                <w:color w:val="auto"/>
              </w:rPr>
            </w:pPr>
            <w:r>
              <w:rPr>
                <w:rFonts w:hint="eastAsia"/>
                <w:color w:val="auto"/>
              </w:rPr>
              <w:t>手提式灭火器</w:t>
            </w:r>
          </w:p>
        </w:tc>
        <w:tc>
          <w:tcPr>
            <w:tcW w:w="1164" w:type="dxa"/>
            <w:noWrap w:val="0"/>
            <w:vAlign w:val="top"/>
          </w:tcPr>
          <w:p w14:paraId="413F135C">
            <w:pPr>
              <w:rPr>
                <w:rFonts w:hint="eastAsia"/>
                <w:color w:val="auto"/>
              </w:rPr>
            </w:pPr>
            <w:r>
              <w:rPr>
                <w:rFonts w:hint="eastAsia"/>
                <w:color w:val="auto"/>
              </w:rPr>
              <w:t>组</w:t>
            </w:r>
          </w:p>
        </w:tc>
        <w:tc>
          <w:tcPr>
            <w:tcW w:w="1699" w:type="dxa"/>
            <w:noWrap w:val="0"/>
            <w:vAlign w:val="top"/>
          </w:tcPr>
          <w:p w14:paraId="77F88814">
            <w:pPr>
              <w:rPr>
                <w:rFonts w:hint="eastAsia"/>
                <w:color w:val="auto"/>
              </w:rPr>
            </w:pPr>
            <w:r>
              <w:rPr>
                <w:color w:val="auto"/>
              </w:rPr>
              <w:t>260</w:t>
            </w:r>
          </w:p>
        </w:tc>
      </w:tr>
      <w:tr w14:paraId="4BDB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6356D1D1">
            <w:pPr>
              <w:rPr>
                <w:rFonts w:hint="eastAsia"/>
                <w:color w:val="auto"/>
              </w:rPr>
            </w:pPr>
            <w:r>
              <w:rPr>
                <w:rFonts w:hint="eastAsia"/>
                <w:color w:val="auto"/>
              </w:rPr>
              <w:t>1</w:t>
            </w:r>
            <w:r>
              <w:rPr>
                <w:color w:val="auto"/>
              </w:rPr>
              <w:t>5</w:t>
            </w:r>
          </w:p>
        </w:tc>
        <w:tc>
          <w:tcPr>
            <w:tcW w:w="2827" w:type="dxa"/>
            <w:noWrap w:val="0"/>
            <w:vAlign w:val="top"/>
          </w:tcPr>
          <w:p w14:paraId="58B85765">
            <w:pPr>
              <w:rPr>
                <w:rFonts w:hint="eastAsia"/>
                <w:color w:val="auto"/>
              </w:rPr>
            </w:pPr>
            <w:r>
              <w:rPr>
                <w:rFonts w:hint="eastAsia"/>
                <w:color w:val="auto"/>
              </w:rPr>
              <w:t>手提式灭火器</w:t>
            </w:r>
          </w:p>
        </w:tc>
        <w:tc>
          <w:tcPr>
            <w:tcW w:w="1164" w:type="dxa"/>
            <w:noWrap w:val="0"/>
            <w:vAlign w:val="top"/>
          </w:tcPr>
          <w:p w14:paraId="667AABF0">
            <w:pPr>
              <w:rPr>
                <w:rFonts w:hint="eastAsia"/>
                <w:color w:val="auto"/>
              </w:rPr>
            </w:pPr>
            <w:r>
              <w:rPr>
                <w:rFonts w:hint="eastAsia"/>
                <w:color w:val="auto"/>
              </w:rPr>
              <w:t>个</w:t>
            </w:r>
          </w:p>
        </w:tc>
        <w:tc>
          <w:tcPr>
            <w:tcW w:w="1699" w:type="dxa"/>
            <w:noWrap w:val="0"/>
            <w:vAlign w:val="top"/>
          </w:tcPr>
          <w:p w14:paraId="7C8ECCDD">
            <w:pPr>
              <w:rPr>
                <w:rFonts w:hint="eastAsia"/>
                <w:color w:val="auto"/>
              </w:rPr>
            </w:pPr>
            <w:r>
              <w:rPr>
                <w:rFonts w:hint="eastAsia"/>
                <w:color w:val="auto"/>
              </w:rPr>
              <w:t>1</w:t>
            </w:r>
            <w:r>
              <w:rPr>
                <w:color w:val="auto"/>
              </w:rPr>
              <w:t>00</w:t>
            </w:r>
          </w:p>
        </w:tc>
      </w:tr>
      <w:tr w14:paraId="18021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124B684D">
            <w:pPr>
              <w:rPr>
                <w:rFonts w:hint="eastAsia"/>
                <w:color w:val="auto"/>
              </w:rPr>
            </w:pPr>
            <w:r>
              <w:rPr>
                <w:rFonts w:hint="eastAsia"/>
                <w:color w:val="auto"/>
              </w:rPr>
              <w:t>1</w:t>
            </w:r>
            <w:r>
              <w:rPr>
                <w:color w:val="auto"/>
              </w:rPr>
              <w:t>6</w:t>
            </w:r>
          </w:p>
        </w:tc>
        <w:tc>
          <w:tcPr>
            <w:tcW w:w="2827" w:type="dxa"/>
            <w:noWrap w:val="0"/>
            <w:vAlign w:val="top"/>
          </w:tcPr>
          <w:p w14:paraId="42C4B485">
            <w:pPr>
              <w:rPr>
                <w:rFonts w:hint="eastAsia"/>
                <w:color w:val="auto"/>
              </w:rPr>
            </w:pPr>
            <w:r>
              <w:rPr>
                <w:rFonts w:hint="eastAsia"/>
                <w:color w:val="auto"/>
              </w:rPr>
              <w:t>压力表</w:t>
            </w:r>
          </w:p>
        </w:tc>
        <w:tc>
          <w:tcPr>
            <w:tcW w:w="1164" w:type="dxa"/>
            <w:noWrap w:val="0"/>
            <w:vAlign w:val="top"/>
          </w:tcPr>
          <w:p w14:paraId="58FC93F6">
            <w:pPr>
              <w:rPr>
                <w:rFonts w:hint="eastAsia"/>
                <w:color w:val="auto"/>
              </w:rPr>
            </w:pPr>
            <w:r>
              <w:rPr>
                <w:rFonts w:hint="eastAsia"/>
                <w:color w:val="auto"/>
              </w:rPr>
              <w:t>个</w:t>
            </w:r>
          </w:p>
        </w:tc>
        <w:tc>
          <w:tcPr>
            <w:tcW w:w="1699" w:type="dxa"/>
            <w:noWrap w:val="0"/>
            <w:vAlign w:val="top"/>
          </w:tcPr>
          <w:p w14:paraId="5C915787">
            <w:pPr>
              <w:rPr>
                <w:rFonts w:hint="eastAsia"/>
                <w:color w:val="auto"/>
              </w:rPr>
            </w:pPr>
            <w:r>
              <w:rPr>
                <w:rFonts w:hint="eastAsia"/>
                <w:color w:val="auto"/>
              </w:rPr>
              <w:t>8</w:t>
            </w:r>
            <w:r>
              <w:rPr>
                <w:color w:val="auto"/>
              </w:rPr>
              <w:t>0</w:t>
            </w:r>
          </w:p>
        </w:tc>
      </w:tr>
      <w:tr w14:paraId="75E4E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282502A7">
            <w:pPr>
              <w:rPr>
                <w:rFonts w:hint="eastAsia"/>
                <w:color w:val="auto"/>
              </w:rPr>
            </w:pPr>
            <w:r>
              <w:rPr>
                <w:rFonts w:hint="eastAsia"/>
                <w:color w:val="auto"/>
              </w:rPr>
              <w:t>1</w:t>
            </w:r>
            <w:r>
              <w:rPr>
                <w:color w:val="auto"/>
              </w:rPr>
              <w:t>7</w:t>
            </w:r>
          </w:p>
        </w:tc>
        <w:tc>
          <w:tcPr>
            <w:tcW w:w="2827" w:type="dxa"/>
            <w:noWrap w:val="0"/>
            <w:vAlign w:val="top"/>
          </w:tcPr>
          <w:p w14:paraId="3E0ADBF7">
            <w:pPr>
              <w:rPr>
                <w:rFonts w:hint="eastAsia"/>
                <w:color w:val="auto"/>
              </w:rPr>
            </w:pPr>
            <w:r>
              <w:rPr>
                <w:rFonts w:hint="eastAsia"/>
                <w:color w:val="auto"/>
              </w:rPr>
              <w:t>疏散指示灯</w:t>
            </w:r>
          </w:p>
        </w:tc>
        <w:tc>
          <w:tcPr>
            <w:tcW w:w="1164" w:type="dxa"/>
            <w:noWrap w:val="0"/>
            <w:vAlign w:val="top"/>
          </w:tcPr>
          <w:p w14:paraId="41702FFF">
            <w:pPr>
              <w:rPr>
                <w:rFonts w:hint="eastAsia"/>
                <w:color w:val="auto"/>
              </w:rPr>
            </w:pPr>
            <w:r>
              <w:rPr>
                <w:rFonts w:hint="eastAsia"/>
                <w:color w:val="auto"/>
              </w:rPr>
              <w:t>套</w:t>
            </w:r>
          </w:p>
        </w:tc>
        <w:tc>
          <w:tcPr>
            <w:tcW w:w="1699" w:type="dxa"/>
            <w:noWrap w:val="0"/>
            <w:vAlign w:val="top"/>
          </w:tcPr>
          <w:p w14:paraId="6AA14A54">
            <w:pPr>
              <w:rPr>
                <w:rFonts w:hint="eastAsia"/>
                <w:color w:val="auto"/>
              </w:rPr>
            </w:pPr>
            <w:r>
              <w:rPr>
                <w:rFonts w:hint="eastAsia"/>
                <w:color w:val="auto"/>
              </w:rPr>
              <w:t>9</w:t>
            </w:r>
            <w:r>
              <w:rPr>
                <w:color w:val="auto"/>
              </w:rPr>
              <w:t>0</w:t>
            </w:r>
          </w:p>
        </w:tc>
      </w:tr>
      <w:tr w14:paraId="09D47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0EA9254B">
            <w:pPr>
              <w:rPr>
                <w:rFonts w:hint="eastAsia"/>
                <w:color w:val="auto"/>
              </w:rPr>
            </w:pPr>
            <w:r>
              <w:rPr>
                <w:rFonts w:hint="eastAsia"/>
                <w:color w:val="auto"/>
              </w:rPr>
              <w:t>1</w:t>
            </w:r>
            <w:r>
              <w:rPr>
                <w:color w:val="auto"/>
              </w:rPr>
              <w:t>8</w:t>
            </w:r>
          </w:p>
        </w:tc>
        <w:tc>
          <w:tcPr>
            <w:tcW w:w="2827" w:type="dxa"/>
            <w:noWrap w:val="0"/>
            <w:vAlign w:val="top"/>
          </w:tcPr>
          <w:p w14:paraId="53AEA669">
            <w:pPr>
              <w:rPr>
                <w:rFonts w:hint="eastAsia"/>
                <w:color w:val="auto"/>
              </w:rPr>
            </w:pPr>
            <w:r>
              <w:rPr>
                <w:rFonts w:hint="eastAsia"/>
                <w:color w:val="auto"/>
              </w:rPr>
              <w:t>安全出口灯</w:t>
            </w:r>
          </w:p>
        </w:tc>
        <w:tc>
          <w:tcPr>
            <w:tcW w:w="1164" w:type="dxa"/>
            <w:noWrap w:val="0"/>
            <w:vAlign w:val="top"/>
          </w:tcPr>
          <w:p w14:paraId="2C5CFF57">
            <w:pPr>
              <w:rPr>
                <w:rFonts w:hint="eastAsia"/>
                <w:color w:val="auto"/>
              </w:rPr>
            </w:pPr>
            <w:r>
              <w:rPr>
                <w:rFonts w:hint="eastAsia"/>
                <w:color w:val="auto"/>
              </w:rPr>
              <w:t>套</w:t>
            </w:r>
          </w:p>
        </w:tc>
        <w:tc>
          <w:tcPr>
            <w:tcW w:w="1699" w:type="dxa"/>
            <w:noWrap w:val="0"/>
            <w:vAlign w:val="top"/>
          </w:tcPr>
          <w:p w14:paraId="3BACBAED">
            <w:pPr>
              <w:rPr>
                <w:rFonts w:hint="eastAsia"/>
                <w:color w:val="auto"/>
              </w:rPr>
            </w:pPr>
            <w:r>
              <w:rPr>
                <w:rFonts w:hint="eastAsia"/>
                <w:color w:val="auto"/>
              </w:rPr>
              <w:t>9</w:t>
            </w:r>
            <w:r>
              <w:rPr>
                <w:color w:val="auto"/>
              </w:rPr>
              <w:t>0</w:t>
            </w:r>
          </w:p>
        </w:tc>
      </w:tr>
      <w:tr w14:paraId="7AFC3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7B5821DB">
            <w:pPr>
              <w:rPr>
                <w:rFonts w:hint="eastAsia"/>
                <w:color w:val="auto"/>
              </w:rPr>
            </w:pPr>
            <w:r>
              <w:rPr>
                <w:rFonts w:hint="eastAsia"/>
                <w:color w:val="auto"/>
              </w:rPr>
              <w:t>1</w:t>
            </w:r>
            <w:r>
              <w:rPr>
                <w:color w:val="auto"/>
              </w:rPr>
              <w:t>9</w:t>
            </w:r>
          </w:p>
        </w:tc>
        <w:tc>
          <w:tcPr>
            <w:tcW w:w="2827" w:type="dxa"/>
            <w:noWrap w:val="0"/>
            <w:vAlign w:val="top"/>
          </w:tcPr>
          <w:p w14:paraId="707A9941">
            <w:pPr>
              <w:rPr>
                <w:rFonts w:hint="eastAsia"/>
                <w:color w:val="auto"/>
              </w:rPr>
            </w:pPr>
            <w:r>
              <w:rPr>
                <w:rFonts w:hint="eastAsia"/>
                <w:color w:val="auto"/>
              </w:rPr>
              <w:t>专用应急灯</w:t>
            </w:r>
          </w:p>
        </w:tc>
        <w:tc>
          <w:tcPr>
            <w:tcW w:w="1164" w:type="dxa"/>
            <w:noWrap w:val="0"/>
            <w:vAlign w:val="top"/>
          </w:tcPr>
          <w:p w14:paraId="70861EC6">
            <w:pPr>
              <w:rPr>
                <w:rFonts w:hint="eastAsia"/>
                <w:color w:val="auto"/>
              </w:rPr>
            </w:pPr>
            <w:r>
              <w:rPr>
                <w:rFonts w:hint="eastAsia"/>
                <w:color w:val="auto"/>
              </w:rPr>
              <w:t>套</w:t>
            </w:r>
          </w:p>
        </w:tc>
        <w:tc>
          <w:tcPr>
            <w:tcW w:w="1699" w:type="dxa"/>
            <w:noWrap w:val="0"/>
            <w:vAlign w:val="top"/>
          </w:tcPr>
          <w:p w14:paraId="2787F500">
            <w:pPr>
              <w:rPr>
                <w:rFonts w:hint="eastAsia"/>
                <w:color w:val="auto"/>
              </w:rPr>
            </w:pPr>
            <w:r>
              <w:rPr>
                <w:rFonts w:hint="eastAsia"/>
                <w:color w:val="auto"/>
              </w:rPr>
              <w:t>1</w:t>
            </w:r>
            <w:r>
              <w:rPr>
                <w:color w:val="auto"/>
              </w:rPr>
              <w:t>20</w:t>
            </w:r>
          </w:p>
        </w:tc>
      </w:tr>
      <w:tr w14:paraId="4B849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3754CAB6">
            <w:pPr>
              <w:rPr>
                <w:rFonts w:hint="eastAsia"/>
                <w:color w:val="auto"/>
              </w:rPr>
            </w:pPr>
            <w:r>
              <w:rPr>
                <w:rFonts w:hint="eastAsia"/>
                <w:color w:val="auto"/>
              </w:rPr>
              <w:t>2</w:t>
            </w:r>
            <w:r>
              <w:rPr>
                <w:color w:val="auto"/>
              </w:rPr>
              <w:t>0</w:t>
            </w:r>
          </w:p>
        </w:tc>
        <w:tc>
          <w:tcPr>
            <w:tcW w:w="2827" w:type="dxa"/>
            <w:noWrap w:val="0"/>
            <w:vAlign w:val="top"/>
          </w:tcPr>
          <w:p w14:paraId="781C1646">
            <w:pPr>
              <w:rPr>
                <w:rFonts w:hint="eastAsia"/>
                <w:color w:val="auto"/>
              </w:rPr>
            </w:pPr>
            <w:r>
              <w:rPr>
                <w:rFonts w:hint="eastAsia"/>
                <w:color w:val="auto"/>
              </w:rPr>
              <w:t>探测器底座更换</w:t>
            </w:r>
          </w:p>
        </w:tc>
        <w:tc>
          <w:tcPr>
            <w:tcW w:w="1164" w:type="dxa"/>
            <w:noWrap w:val="0"/>
            <w:vAlign w:val="top"/>
          </w:tcPr>
          <w:p w14:paraId="138907B6">
            <w:pPr>
              <w:rPr>
                <w:rFonts w:hint="eastAsia"/>
                <w:color w:val="auto"/>
              </w:rPr>
            </w:pPr>
            <w:r>
              <w:rPr>
                <w:rFonts w:hint="eastAsia"/>
                <w:color w:val="auto"/>
              </w:rPr>
              <w:t>个</w:t>
            </w:r>
          </w:p>
        </w:tc>
        <w:tc>
          <w:tcPr>
            <w:tcW w:w="1699" w:type="dxa"/>
            <w:noWrap w:val="0"/>
            <w:vAlign w:val="top"/>
          </w:tcPr>
          <w:p w14:paraId="0E2F58E6">
            <w:pPr>
              <w:rPr>
                <w:rFonts w:hint="eastAsia"/>
                <w:color w:val="auto"/>
              </w:rPr>
            </w:pPr>
            <w:r>
              <w:rPr>
                <w:rFonts w:hint="eastAsia"/>
                <w:color w:val="auto"/>
              </w:rPr>
              <w:t>6</w:t>
            </w:r>
            <w:r>
              <w:rPr>
                <w:color w:val="auto"/>
              </w:rPr>
              <w:t>5</w:t>
            </w:r>
          </w:p>
        </w:tc>
      </w:tr>
      <w:tr w14:paraId="0FCF3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2B41BB69">
            <w:pPr>
              <w:rPr>
                <w:rFonts w:hint="eastAsia"/>
                <w:color w:val="auto"/>
              </w:rPr>
            </w:pPr>
            <w:r>
              <w:rPr>
                <w:rFonts w:hint="eastAsia"/>
                <w:color w:val="auto"/>
              </w:rPr>
              <w:t>2</w:t>
            </w:r>
            <w:r>
              <w:rPr>
                <w:color w:val="auto"/>
              </w:rPr>
              <w:t>1</w:t>
            </w:r>
          </w:p>
        </w:tc>
        <w:tc>
          <w:tcPr>
            <w:tcW w:w="2827" w:type="dxa"/>
            <w:noWrap w:val="0"/>
            <w:vAlign w:val="top"/>
          </w:tcPr>
          <w:p w14:paraId="5F5E4334">
            <w:pPr>
              <w:rPr>
                <w:rFonts w:hint="eastAsia"/>
                <w:color w:val="auto"/>
              </w:rPr>
            </w:pPr>
            <w:r>
              <w:rPr>
                <w:rFonts w:hint="eastAsia"/>
                <w:color w:val="auto"/>
              </w:rPr>
              <w:t>消防故障排查</w:t>
            </w:r>
          </w:p>
        </w:tc>
        <w:tc>
          <w:tcPr>
            <w:tcW w:w="1164" w:type="dxa"/>
            <w:noWrap w:val="0"/>
            <w:vAlign w:val="top"/>
          </w:tcPr>
          <w:p w14:paraId="5B566F90">
            <w:pPr>
              <w:rPr>
                <w:rFonts w:hint="eastAsia"/>
                <w:color w:val="auto"/>
              </w:rPr>
            </w:pPr>
            <w:r>
              <w:rPr>
                <w:rFonts w:hint="eastAsia"/>
                <w:color w:val="auto"/>
              </w:rPr>
              <w:t>项</w:t>
            </w:r>
          </w:p>
        </w:tc>
        <w:tc>
          <w:tcPr>
            <w:tcW w:w="1699" w:type="dxa"/>
            <w:noWrap w:val="0"/>
            <w:vAlign w:val="top"/>
          </w:tcPr>
          <w:p w14:paraId="0B1BF307">
            <w:pPr>
              <w:rPr>
                <w:rFonts w:hint="eastAsia"/>
                <w:color w:val="auto"/>
              </w:rPr>
            </w:pPr>
            <w:r>
              <w:rPr>
                <w:rFonts w:hint="eastAsia"/>
                <w:color w:val="auto"/>
              </w:rPr>
              <w:t>1</w:t>
            </w:r>
            <w:r>
              <w:rPr>
                <w:color w:val="auto"/>
              </w:rPr>
              <w:t>50</w:t>
            </w:r>
          </w:p>
        </w:tc>
      </w:tr>
      <w:tr w14:paraId="25948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69C28EFB">
            <w:pPr>
              <w:rPr>
                <w:rFonts w:hint="eastAsia"/>
                <w:color w:val="auto"/>
              </w:rPr>
            </w:pPr>
            <w:r>
              <w:rPr>
                <w:rFonts w:hint="eastAsia"/>
                <w:color w:val="auto"/>
              </w:rPr>
              <w:t>2</w:t>
            </w:r>
            <w:r>
              <w:rPr>
                <w:color w:val="auto"/>
              </w:rPr>
              <w:t>2</w:t>
            </w:r>
          </w:p>
        </w:tc>
        <w:tc>
          <w:tcPr>
            <w:tcW w:w="2827" w:type="dxa"/>
            <w:noWrap w:val="0"/>
            <w:vAlign w:val="top"/>
          </w:tcPr>
          <w:p w14:paraId="6FC3023F">
            <w:pPr>
              <w:rPr>
                <w:rFonts w:hint="eastAsia"/>
                <w:color w:val="auto"/>
              </w:rPr>
            </w:pPr>
            <w:r>
              <w:rPr>
                <w:rFonts w:hint="eastAsia"/>
                <w:color w:val="auto"/>
              </w:rPr>
              <w:t>消火栓箱配件更换</w:t>
            </w:r>
          </w:p>
        </w:tc>
        <w:tc>
          <w:tcPr>
            <w:tcW w:w="1164" w:type="dxa"/>
            <w:noWrap w:val="0"/>
            <w:vAlign w:val="top"/>
          </w:tcPr>
          <w:p w14:paraId="38465B48">
            <w:pPr>
              <w:rPr>
                <w:rFonts w:hint="eastAsia"/>
                <w:color w:val="auto"/>
              </w:rPr>
            </w:pPr>
            <w:r>
              <w:rPr>
                <w:rFonts w:hint="eastAsia"/>
                <w:color w:val="auto"/>
              </w:rPr>
              <w:t>套</w:t>
            </w:r>
          </w:p>
        </w:tc>
        <w:tc>
          <w:tcPr>
            <w:tcW w:w="1699" w:type="dxa"/>
            <w:noWrap w:val="0"/>
            <w:vAlign w:val="top"/>
          </w:tcPr>
          <w:p w14:paraId="46256431">
            <w:pPr>
              <w:rPr>
                <w:rFonts w:hint="eastAsia"/>
                <w:color w:val="auto"/>
              </w:rPr>
            </w:pPr>
            <w:r>
              <w:rPr>
                <w:rFonts w:hint="eastAsia"/>
                <w:color w:val="auto"/>
              </w:rPr>
              <w:t>1</w:t>
            </w:r>
            <w:r>
              <w:rPr>
                <w:color w:val="auto"/>
              </w:rPr>
              <w:t>80</w:t>
            </w:r>
          </w:p>
        </w:tc>
      </w:tr>
      <w:tr w14:paraId="271A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2CB6F7A0">
            <w:pPr>
              <w:rPr>
                <w:rFonts w:hint="eastAsia" w:eastAsia="宋体"/>
                <w:color w:val="auto"/>
                <w:lang w:eastAsia="zh-CN"/>
              </w:rPr>
            </w:pPr>
            <w:r>
              <w:rPr>
                <w:rFonts w:hint="eastAsia"/>
                <w:color w:val="auto"/>
                <w:lang w:eastAsia="zh-CN"/>
              </w:rPr>
              <w:t>……</w:t>
            </w:r>
          </w:p>
        </w:tc>
        <w:tc>
          <w:tcPr>
            <w:tcW w:w="2827" w:type="dxa"/>
            <w:noWrap w:val="0"/>
            <w:vAlign w:val="top"/>
          </w:tcPr>
          <w:p w14:paraId="432E13CF">
            <w:pPr>
              <w:rPr>
                <w:rFonts w:hint="eastAsia" w:eastAsia="宋体"/>
                <w:color w:val="auto"/>
                <w:lang w:val="en-US" w:eastAsia="zh-CN"/>
              </w:rPr>
            </w:pPr>
            <w:r>
              <w:rPr>
                <w:rFonts w:hint="eastAsia"/>
                <w:color w:val="auto"/>
                <w:lang w:val="en-US" w:eastAsia="zh-CN"/>
              </w:rPr>
              <w:t>其他</w:t>
            </w:r>
          </w:p>
        </w:tc>
        <w:tc>
          <w:tcPr>
            <w:tcW w:w="1164" w:type="dxa"/>
            <w:noWrap w:val="0"/>
            <w:vAlign w:val="top"/>
          </w:tcPr>
          <w:p w14:paraId="533F305F">
            <w:pPr>
              <w:rPr>
                <w:rFonts w:hint="eastAsia"/>
                <w:color w:val="auto"/>
              </w:rPr>
            </w:pPr>
          </w:p>
        </w:tc>
        <w:tc>
          <w:tcPr>
            <w:tcW w:w="1699" w:type="dxa"/>
            <w:noWrap w:val="0"/>
            <w:vAlign w:val="top"/>
          </w:tcPr>
          <w:p w14:paraId="4D68F109">
            <w:pPr>
              <w:rPr>
                <w:rFonts w:hint="eastAsia"/>
                <w:color w:val="auto"/>
              </w:rPr>
            </w:pPr>
          </w:p>
        </w:tc>
      </w:tr>
    </w:tbl>
    <w:p w14:paraId="3A2243B3">
      <w:pPr>
        <w:spacing w:line="360" w:lineRule="auto"/>
        <w:ind w:firstLine="480" w:firstLineChars="200"/>
        <w:rPr>
          <w:rFonts w:hint="eastAsia" w:ascii="仿宋" w:hAnsi="仿宋" w:eastAsia="仿宋" w:cs="仿宋"/>
          <w:color w:val="auto"/>
          <w:sz w:val="24"/>
        </w:rPr>
      </w:pPr>
    </w:p>
    <w:p w14:paraId="5A5BE347">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现场发生维修维保事项，如出现</w:t>
      </w:r>
      <w:r>
        <w:rPr>
          <w:rFonts w:hint="eastAsia" w:ascii="仿宋" w:hAnsi="仿宋" w:eastAsia="仿宋" w:cs="仿宋"/>
          <w:color w:val="auto"/>
          <w:sz w:val="24"/>
          <w:lang w:eastAsia="zh-CN"/>
        </w:rPr>
        <w:t>投标人</w:t>
      </w:r>
      <w:r>
        <w:rPr>
          <w:rFonts w:hint="eastAsia" w:ascii="仿宋" w:hAnsi="仿宋" w:eastAsia="仿宋" w:cs="仿宋"/>
          <w:color w:val="auto"/>
          <w:sz w:val="24"/>
        </w:rPr>
        <w:t>不同意采购人核定费用而拒不执行的</w:t>
      </w:r>
      <w:r>
        <w:rPr>
          <w:rFonts w:hint="eastAsia" w:ascii="仿宋" w:hAnsi="仿宋" w:eastAsia="仿宋" w:cs="仿宋"/>
          <w:color w:val="auto"/>
          <w:sz w:val="24"/>
          <w:lang w:eastAsia="zh-CN"/>
        </w:rPr>
        <w:t>，</w:t>
      </w:r>
      <w:r>
        <w:rPr>
          <w:rFonts w:hint="eastAsia" w:ascii="仿宋" w:hAnsi="仿宋" w:eastAsia="仿宋" w:cs="仿宋"/>
          <w:color w:val="auto"/>
          <w:sz w:val="24"/>
        </w:rPr>
        <w:t>采购人有权另行委托第三方单位开展该项维修维保工作，由此产生的全部维修维保费用由</w:t>
      </w:r>
      <w:r>
        <w:rPr>
          <w:rFonts w:hint="eastAsia" w:ascii="仿宋" w:hAnsi="仿宋" w:eastAsia="仿宋" w:cs="仿宋"/>
          <w:color w:val="auto"/>
          <w:sz w:val="24"/>
          <w:lang w:eastAsia="zh-CN"/>
        </w:rPr>
        <w:t>投标人</w:t>
      </w:r>
      <w:r>
        <w:rPr>
          <w:rFonts w:hint="eastAsia" w:ascii="仿宋" w:hAnsi="仿宋" w:eastAsia="仿宋" w:cs="仿宋"/>
          <w:color w:val="auto"/>
          <w:sz w:val="24"/>
        </w:rPr>
        <w:t>承担，采购人可直接从合同价款中予以扣除；同时采购人有权向</w:t>
      </w:r>
      <w:r>
        <w:rPr>
          <w:rFonts w:hint="eastAsia" w:ascii="仿宋" w:hAnsi="仿宋" w:eastAsia="仿宋" w:cs="仿宋"/>
          <w:color w:val="auto"/>
          <w:sz w:val="24"/>
          <w:lang w:val="en-US" w:eastAsia="zh-CN"/>
        </w:rPr>
        <w:t>投标人</w:t>
      </w:r>
      <w:r>
        <w:rPr>
          <w:rFonts w:hint="eastAsia" w:ascii="仿宋" w:hAnsi="仿宋" w:eastAsia="仿宋" w:cs="仿宋"/>
          <w:color w:val="auto"/>
          <w:sz w:val="24"/>
        </w:rPr>
        <w:t>加收该次维修维保</w:t>
      </w:r>
      <w:r>
        <w:rPr>
          <w:rFonts w:hint="eastAsia" w:ascii="仿宋" w:hAnsi="仿宋" w:eastAsia="仿宋" w:cs="仿宋"/>
          <w:color w:val="auto"/>
          <w:sz w:val="24"/>
          <w:lang w:val="en-US" w:eastAsia="zh-CN"/>
        </w:rPr>
        <w:t>总</w:t>
      </w:r>
      <w:r>
        <w:rPr>
          <w:rFonts w:hint="eastAsia" w:ascii="仿宋" w:hAnsi="仿宋" w:eastAsia="仿宋" w:cs="仿宋"/>
          <w:color w:val="auto"/>
          <w:sz w:val="24"/>
        </w:rPr>
        <w:t>费用 25% 的管理费，</w:t>
      </w:r>
      <w:r>
        <w:rPr>
          <w:rFonts w:hint="eastAsia" w:ascii="仿宋" w:hAnsi="仿宋" w:eastAsia="仿宋" w:cs="仿宋"/>
          <w:color w:val="auto"/>
          <w:sz w:val="24"/>
          <w:lang w:val="en-US" w:eastAsia="zh-CN"/>
        </w:rPr>
        <w:t>并</w:t>
      </w:r>
      <w:r>
        <w:rPr>
          <w:rFonts w:hint="eastAsia" w:ascii="仿宋" w:hAnsi="仿宋" w:eastAsia="仿宋" w:cs="仿宋"/>
          <w:color w:val="auto"/>
          <w:sz w:val="24"/>
        </w:rPr>
        <w:t>有权按照</w:t>
      </w:r>
      <w:r>
        <w:rPr>
          <w:rFonts w:hint="eastAsia" w:ascii="仿宋" w:hAnsi="仿宋" w:eastAsia="仿宋" w:cs="仿宋"/>
          <w:color w:val="auto"/>
          <w:sz w:val="24"/>
          <w:lang w:val="en-US" w:eastAsia="zh-CN"/>
        </w:rPr>
        <w:t>考核及违约条款</w:t>
      </w:r>
      <w:r>
        <w:rPr>
          <w:rFonts w:hint="eastAsia" w:ascii="仿宋" w:hAnsi="仿宋" w:eastAsia="仿宋" w:cs="仿宋"/>
          <w:color w:val="auto"/>
          <w:sz w:val="24"/>
        </w:rPr>
        <w:t>中相关条款对</w:t>
      </w:r>
      <w:r>
        <w:rPr>
          <w:rFonts w:hint="eastAsia" w:ascii="仿宋" w:hAnsi="仿宋" w:eastAsia="仿宋" w:cs="仿宋"/>
          <w:color w:val="auto"/>
          <w:sz w:val="24"/>
          <w:lang w:eastAsia="zh-CN"/>
        </w:rPr>
        <w:t>投标人</w:t>
      </w:r>
      <w:r>
        <w:rPr>
          <w:rFonts w:hint="eastAsia" w:ascii="仿宋" w:hAnsi="仿宋" w:eastAsia="仿宋" w:cs="仿宋"/>
          <w:color w:val="auto"/>
          <w:sz w:val="24"/>
        </w:rPr>
        <w:t>违约行为实施考核扣款，本条款的决定权与解释权归采购人所有。</w:t>
      </w:r>
    </w:p>
    <w:p w14:paraId="2BC2C4E9">
      <w:pPr>
        <w:spacing w:line="360" w:lineRule="auto"/>
        <w:ind w:firstLine="480" w:firstLineChars="200"/>
        <w:outlineLvl w:val="1"/>
        <w:rPr>
          <w:rFonts w:hint="eastAsia" w:ascii="仿宋" w:hAnsi="仿宋" w:eastAsia="仿宋" w:cs="仿宋"/>
          <w:sz w:val="24"/>
        </w:rPr>
      </w:pPr>
      <w:bookmarkStart w:id="49" w:name="_Toc11442"/>
      <w:r>
        <w:rPr>
          <w:rFonts w:hint="eastAsia" w:ascii="仿宋" w:hAnsi="仿宋" w:eastAsia="仿宋" w:cs="仿宋"/>
          <w:sz w:val="24"/>
        </w:rPr>
        <w:t>3.应急排故</w:t>
      </w:r>
      <w:bookmarkEnd w:id="49"/>
    </w:p>
    <w:p w14:paraId="5B666C6A">
      <w:pPr>
        <w:spacing w:line="360" w:lineRule="auto"/>
        <w:ind w:firstLine="480" w:firstLineChars="200"/>
        <w:rPr>
          <w:rFonts w:hint="eastAsia" w:ascii="仿宋" w:hAnsi="仿宋" w:eastAsia="仿宋" w:cs="仿宋"/>
          <w:sz w:val="24"/>
        </w:rPr>
      </w:pPr>
      <w:r>
        <w:rPr>
          <w:rFonts w:hint="eastAsia" w:ascii="仿宋" w:hAnsi="仿宋" w:eastAsia="仿宋" w:cs="仿宋"/>
          <w:sz w:val="24"/>
        </w:rPr>
        <w:t>（1）消防设施设备（系统）发生故障或消防突发事件（事故）等，</w:t>
      </w:r>
      <w:r>
        <w:rPr>
          <w:rFonts w:hint="eastAsia" w:ascii="仿宋" w:hAnsi="仿宋" w:eastAsia="仿宋" w:cs="仿宋"/>
          <w:sz w:val="24"/>
          <w:lang w:val="en-US" w:eastAsia="zh-CN"/>
        </w:rPr>
        <w:t>投标人</w:t>
      </w:r>
      <w:r>
        <w:rPr>
          <w:rFonts w:hint="eastAsia" w:ascii="仿宋" w:hAnsi="仿宋" w:eastAsia="仿宋" w:cs="仿宋"/>
          <w:sz w:val="24"/>
        </w:rPr>
        <w:t>无法完成</w:t>
      </w:r>
      <w:r>
        <w:rPr>
          <w:rFonts w:hint="eastAsia" w:ascii="仿宋" w:hAnsi="仿宋" w:eastAsia="仿宋" w:cs="仿宋"/>
          <w:sz w:val="24"/>
          <w:lang w:val="en-US" w:eastAsia="zh-CN"/>
        </w:rPr>
        <w:t>故障修复及</w:t>
      </w:r>
      <w:r>
        <w:rPr>
          <w:rFonts w:hint="eastAsia" w:ascii="仿宋" w:hAnsi="仿宋" w:eastAsia="仿宋" w:cs="仿宋"/>
          <w:color w:val="auto"/>
          <w:sz w:val="24"/>
          <w:lang w:val="en-US" w:eastAsia="zh-CN"/>
        </w:rPr>
        <w:t>处置</w:t>
      </w:r>
      <w:r>
        <w:rPr>
          <w:rFonts w:hint="eastAsia" w:ascii="仿宋" w:hAnsi="仿宋" w:eastAsia="仿宋" w:cs="仿宋"/>
          <w:color w:val="auto"/>
          <w:sz w:val="24"/>
        </w:rPr>
        <w:t>或发生在下班时间时</w:t>
      </w:r>
      <w:r>
        <w:rPr>
          <w:rFonts w:hint="eastAsia" w:ascii="仿宋" w:hAnsi="仿宋" w:eastAsia="仿宋" w:cs="仿宋"/>
          <w:sz w:val="24"/>
        </w:rPr>
        <w:t>，</w:t>
      </w:r>
      <w:r>
        <w:rPr>
          <w:rFonts w:hint="eastAsia" w:ascii="仿宋" w:hAnsi="仿宋" w:eastAsia="仿宋" w:cs="仿宋"/>
          <w:sz w:val="24"/>
          <w:lang w:eastAsia="zh-CN"/>
        </w:rPr>
        <w:t>投标人</w:t>
      </w:r>
      <w:r>
        <w:rPr>
          <w:rFonts w:hint="eastAsia" w:ascii="仿宋" w:hAnsi="仿宋" w:eastAsia="仿宋" w:cs="仿宋"/>
          <w:sz w:val="24"/>
        </w:rPr>
        <w:t>必须在</w:t>
      </w:r>
      <w:r>
        <w:rPr>
          <w:rFonts w:hint="eastAsia" w:ascii="仿宋" w:hAnsi="仿宋" w:eastAsia="仿宋" w:cs="仿宋"/>
          <w:sz w:val="24"/>
          <w:lang w:val="en-US" w:eastAsia="zh-CN"/>
        </w:rPr>
        <w:t>半</w:t>
      </w:r>
      <w:r>
        <w:rPr>
          <w:rFonts w:hint="eastAsia" w:ascii="仿宋" w:hAnsi="仿宋" w:eastAsia="仿宋" w:cs="仿宋"/>
          <w:sz w:val="24"/>
        </w:rPr>
        <w:t>小时内增派技术人员到场</w:t>
      </w:r>
      <w:r>
        <w:rPr>
          <w:rFonts w:hint="eastAsia" w:ascii="仿宋" w:hAnsi="仿宋" w:eastAsia="仿宋" w:cs="仿宋"/>
          <w:sz w:val="24"/>
          <w:lang w:val="en-US" w:eastAsia="zh-CN"/>
        </w:rPr>
        <w:t>免费</w:t>
      </w:r>
      <w:r>
        <w:rPr>
          <w:rFonts w:hint="eastAsia" w:ascii="仿宋" w:hAnsi="仿宋" w:eastAsia="仿宋" w:cs="仿宋"/>
          <w:sz w:val="24"/>
        </w:rPr>
        <w:t>配合抢修，故障未排除或者未启用</w:t>
      </w:r>
      <w:r>
        <w:rPr>
          <w:rFonts w:hint="eastAsia" w:ascii="仿宋" w:hAnsi="仿宋" w:eastAsia="仿宋" w:cs="仿宋"/>
          <w:sz w:val="24"/>
          <w:lang w:eastAsia="zh-CN"/>
        </w:rPr>
        <w:t>采购人</w:t>
      </w:r>
      <w:r>
        <w:rPr>
          <w:rFonts w:hint="eastAsia" w:ascii="仿宋" w:hAnsi="仿宋" w:eastAsia="仿宋" w:cs="仿宋"/>
          <w:sz w:val="24"/>
        </w:rPr>
        <w:t>认同的替代方案时</w:t>
      </w:r>
      <w:r>
        <w:rPr>
          <w:rFonts w:hint="eastAsia" w:ascii="仿宋" w:hAnsi="仿宋" w:eastAsia="仿宋" w:cs="仿宋"/>
          <w:sz w:val="24"/>
          <w:lang w:val="en-US" w:eastAsia="zh-CN"/>
        </w:rPr>
        <w:t>投标人技术人员务必旁站处理</w:t>
      </w:r>
      <w:r>
        <w:rPr>
          <w:rFonts w:hint="eastAsia" w:ascii="仿宋" w:hAnsi="仿宋" w:eastAsia="仿宋" w:cs="仿宋"/>
          <w:sz w:val="24"/>
        </w:rPr>
        <w:t>。</w:t>
      </w:r>
    </w:p>
    <w:p w14:paraId="672D93B9">
      <w:pPr>
        <w:spacing w:line="360" w:lineRule="auto"/>
        <w:ind w:firstLine="480" w:firstLineChars="200"/>
        <w:rPr>
          <w:rFonts w:hint="eastAsia" w:ascii="仿宋" w:hAnsi="仿宋" w:eastAsia="仿宋" w:cs="仿宋"/>
          <w:sz w:val="24"/>
        </w:rPr>
      </w:pPr>
      <w:r>
        <w:rPr>
          <w:rFonts w:hint="eastAsia" w:ascii="仿宋" w:hAnsi="仿宋" w:eastAsia="仿宋" w:cs="仿宋"/>
          <w:sz w:val="24"/>
        </w:rPr>
        <w:t>（2）</w:t>
      </w:r>
      <w:r>
        <w:rPr>
          <w:rFonts w:hint="eastAsia" w:ascii="仿宋" w:hAnsi="仿宋" w:eastAsia="仿宋" w:cs="仿宋"/>
          <w:sz w:val="24"/>
          <w:lang w:eastAsia="zh-CN"/>
        </w:rPr>
        <w:t>投标人</w:t>
      </w:r>
      <w:r>
        <w:rPr>
          <w:rFonts w:hint="eastAsia" w:ascii="仿宋" w:hAnsi="仿宋" w:eastAsia="仿宋" w:cs="仿宋"/>
          <w:sz w:val="24"/>
        </w:rPr>
        <w:t>应根据</w:t>
      </w:r>
      <w:r>
        <w:rPr>
          <w:rFonts w:hint="eastAsia" w:ascii="仿宋" w:hAnsi="仿宋" w:eastAsia="仿宋" w:cs="仿宋"/>
          <w:sz w:val="24"/>
          <w:lang w:eastAsia="zh-CN"/>
        </w:rPr>
        <w:t>采购人</w:t>
      </w:r>
      <w:r>
        <w:rPr>
          <w:rFonts w:hint="eastAsia" w:ascii="仿宋" w:hAnsi="仿宋" w:eastAsia="仿宋" w:cs="仿宋"/>
          <w:sz w:val="24"/>
        </w:rPr>
        <w:t>所涉及的消防设施设备类型，在入场时自行免费配备相关检测、登高设备、维修工具器材，</w:t>
      </w:r>
      <w:r>
        <w:rPr>
          <w:rFonts w:hint="eastAsia" w:ascii="仿宋" w:hAnsi="仿宋" w:eastAsia="仿宋" w:cs="仿宋"/>
          <w:sz w:val="24"/>
          <w:lang w:eastAsia="zh-CN"/>
        </w:rPr>
        <w:t>投标人</w:t>
      </w:r>
      <w:r>
        <w:rPr>
          <w:rFonts w:hint="eastAsia" w:ascii="仿宋" w:hAnsi="仿宋" w:eastAsia="仿宋" w:cs="仿宋"/>
          <w:sz w:val="24"/>
        </w:rPr>
        <w:t>需自行编制设施设备配件清单；</w:t>
      </w:r>
    </w:p>
    <w:p w14:paraId="7A867FE7">
      <w:pPr>
        <w:spacing w:line="360" w:lineRule="auto"/>
        <w:ind w:firstLine="480" w:firstLineChars="200"/>
        <w:rPr>
          <w:rFonts w:hint="eastAsia" w:ascii="仿宋" w:hAnsi="仿宋" w:eastAsia="仿宋" w:cs="仿宋"/>
          <w:sz w:val="24"/>
        </w:rPr>
      </w:pPr>
      <w:r>
        <w:rPr>
          <w:rFonts w:hint="eastAsia" w:ascii="仿宋" w:hAnsi="仿宋" w:eastAsia="仿宋" w:cs="仿宋"/>
          <w:sz w:val="24"/>
        </w:rPr>
        <w:t>（3）</w:t>
      </w:r>
      <w:r>
        <w:rPr>
          <w:rFonts w:hint="eastAsia" w:ascii="仿宋" w:hAnsi="仿宋" w:eastAsia="仿宋" w:cs="仿宋"/>
          <w:sz w:val="24"/>
          <w:lang w:eastAsia="zh-CN"/>
        </w:rPr>
        <w:t>投标人</w:t>
      </w:r>
      <w:r>
        <w:rPr>
          <w:rFonts w:hint="eastAsia" w:ascii="仿宋" w:hAnsi="仿宋" w:eastAsia="仿宋" w:cs="仿宋"/>
          <w:sz w:val="24"/>
        </w:rPr>
        <w:t>在接到故障报警后，需在10分钟内</w:t>
      </w:r>
      <w:r>
        <w:rPr>
          <w:rFonts w:hint="eastAsia" w:ascii="仿宋" w:hAnsi="仿宋" w:eastAsia="仿宋" w:cs="仿宋"/>
          <w:sz w:val="24"/>
          <w:lang w:eastAsia="zh-CN"/>
        </w:rPr>
        <w:t>（</w:t>
      </w:r>
      <w:r>
        <w:rPr>
          <w:rFonts w:hint="eastAsia" w:ascii="仿宋" w:hAnsi="仿宋" w:eastAsia="仿宋" w:cs="仿宋"/>
          <w:sz w:val="24"/>
          <w:lang w:val="en-US" w:eastAsia="zh-CN"/>
        </w:rPr>
        <w:t>非上班时间30分钟内</w:t>
      </w:r>
      <w:r>
        <w:rPr>
          <w:rFonts w:hint="eastAsia" w:ascii="仿宋" w:hAnsi="仿宋" w:eastAsia="仿宋" w:cs="仿宋"/>
          <w:sz w:val="24"/>
          <w:lang w:eastAsia="zh-CN"/>
        </w:rPr>
        <w:t>）</w:t>
      </w:r>
      <w:r>
        <w:rPr>
          <w:rFonts w:hint="eastAsia" w:ascii="仿宋" w:hAnsi="仿宋" w:eastAsia="仿宋" w:cs="仿宋"/>
          <w:sz w:val="24"/>
        </w:rPr>
        <w:t>到场处理，维修时限一般故障不超过12小时，一般故障的定义范围包括但不限于消防终端设备、线路等。重大故障不得超过24小时（不包含设备采购时间），重大故障的定义范围包括但不限于消防控制主机、消防水泵及控制柜、防排烟风机及控制柜、各类消防管路及风管、气体控制系统等，凡超过24小时的维修必须向</w:t>
      </w:r>
      <w:r>
        <w:rPr>
          <w:rFonts w:hint="eastAsia" w:ascii="仿宋" w:hAnsi="仿宋" w:eastAsia="仿宋" w:cs="仿宋"/>
          <w:sz w:val="24"/>
          <w:lang w:eastAsia="zh-CN"/>
        </w:rPr>
        <w:t>采购人</w:t>
      </w:r>
      <w:r>
        <w:rPr>
          <w:rFonts w:hint="eastAsia" w:ascii="仿宋" w:hAnsi="仿宋" w:eastAsia="仿宋" w:cs="仿宋"/>
          <w:sz w:val="24"/>
        </w:rPr>
        <w:t>提供应急替代方案。</w:t>
      </w:r>
    </w:p>
    <w:p w14:paraId="4E6D3067">
      <w:pPr>
        <w:spacing w:line="360" w:lineRule="auto"/>
        <w:ind w:firstLine="480" w:firstLineChars="200"/>
        <w:outlineLvl w:val="1"/>
        <w:rPr>
          <w:rFonts w:hint="default" w:ascii="仿宋" w:hAnsi="仿宋" w:eastAsia="仿宋" w:cs="仿宋"/>
          <w:sz w:val="24"/>
          <w:lang w:val="en-US" w:eastAsia="zh-CN"/>
        </w:rPr>
      </w:pPr>
      <w:bookmarkStart w:id="50" w:name="_Toc25787"/>
      <w:r>
        <w:rPr>
          <w:rFonts w:hint="eastAsia" w:ascii="仿宋" w:hAnsi="仿宋" w:eastAsia="仿宋" w:cs="仿宋"/>
          <w:sz w:val="24"/>
          <w:lang w:val="en-US" w:eastAsia="zh-CN"/>
        </w:rPr>
        <w:t>4.完成其他采购人消防安全管理交办工作。</w:t>
      </w:r>
      <w:bookmarkEnd w:id="50"/>
    </w:p>
    <w:p w14:paraId="72C830E1">
      <w:pPr>
        <w:pStyle w:val="3"/>
        <w:outlineLvl w:val="0"/>
        <w:rPr>
          <w:rFonts w:hint="eastAsia" w:ascii="方正黑体_GBK" w:eastAsia="方正黑体_GBK" w:cs="宋体"/>
          <w:sz w:val="32"/>
        </w:rPr>
      </w:pPr>
      <w:bookmarkStart w:id="51" w:name="_Toc13283"/>
      <w:bookmarkStart w:id="52" w:name="_Toc3285"/>
      <w:r>
        <w:rPr>
          <w:rFonts w:hint="eastAsia" w:ascii="方正黑体_GBK" w:eastAsia="方正黑体_GBK" w:cs="宋体"/>
          <w:sz w:val="32"/>
        </w:rPr>
        <w:t>四、服务内容及标准</w:t>
      </w:r>
      <w:bookmarkEnd w:id="51"/>
      <w:bookmarkEnd w:id="52"/>
    </w:p>
    <w:tbl>
      <w:tblPr>
        <w:tblStyle w:val="57"/>
        <w:tblW w:w="0" w:type="auto"/>
        <w:tblInd w:w="91" w:type="dxa"/>
        <w:tblLayout w:type="fixed"/>
        <w:tblCellMar>
          <w:top w:w="0" w:type="dxa"/>
          <w:left w:w="108" w:type="dxa"/>
          <w:bottom w:w="0" w:type="dxa"/>
          <w:right w:w="108" w:type="dxa"/>
        </w:tblCellMar>
      </w:tblPr>
      <w:tblGrid>
        <w:gridCol w:w="1040"/>
        <w:gridCol w:w="1040"/>
        <w:gridCol w:w="2820"/>
        <w:gridCol w:w="682"/>
        <w:gridCol w:w="641"/>
        <w:gridCol w:w="3197"/>
      </w:tblGrid>
      <w:tr w14:paraId="1073AFAB">
        <w:tblPrEx>
          <w:tblCellMar>
            <w:top w:w="0" w:type="dxa"/>
            <w:left w:w="108" w:type="dxa"/>
            <w:bottom w:w="0" w:type="dxa"/>
            <w:right w:w="108" w:type="dxa"/>
          </w:tblCellMar>
        </w:tblPrEx>
        <w:trPr>
          <w:trHeight w:val="496" w:hRule="atLeast"/>
        </w:trPr>
        <w:tc>
          <w:tcPr>
            <w:tcW w:w="9420" w:type="dxa"/>
            <w:gridSpan w:val="6"/>
            <w:tcBorders>
              <w:top w:val="single" w:color="000000" w:sz="4" w:space="0"/>
              <w:left w:val="single" w:color="000000" w:sz="4" w:space="0"/>
              <w:bottom w:val="single" w:color="000000" w:sz="4" w:space="0"/>
              <w:right w:val="single" w:color="000000" w:sz="4" w:space="0"/>
            </w:tcBorders>
            <w:noWrap w:val="0"/>
            <w:vAlign w:val="center"/>
          </w:tcPr>
          <w:p w14:paraId="59E73B07">
            <w:pPr>
              <w:widowControl/>
              <w:jc w:val="center"/>
              <w:textAlignment w:val="center"/>
              <w:rPr>
                <w:rFonts w:hint="eastAsia" w:ascii="宋体" w:hAnsi="宋体" w:cs="宋体"/>
                <w:b/>
                <w:bCs/>
                <w:sz w:val="21"/>
                <w:szCs w:val="21"/>
              </w:rPr>
            </w:pPr>
            <w:r>
              <w:rPr>
                <w:rFonts w:hint="eastAsia" w:ascii="宋体" w:hAnsi="宋体" w:cs="宋体"/>
                <w:b/>
                <w:bCs/>
                <w:kern w:val="0"/>
                <w:sz w:val="21"/>
                <w:szCs w:val="21"/>
                <w:lang w:bidi="ar"/>
              </w:rPr>
              <w:t>消防维保服务内容考核标准</w:t>
            </w:r>
          </w:p>
        </w:tc>
      </w:tr>
      <w:tr w14:paraId="08CC13B8">
        <w:tblPrEx>
          <w:tblCellMar>
            <w:top w:w="0" w:type="dxa"/>
            <w:left w:w="108" w:type="dxa"/>
            <w:bottom w:w="0" w:type="dxa"/>
            <w:right w:w="108" w:type="dxa"/>
          </w:tblCellMar>
        </w:tblPrEx>
        <w:tc>
          <w:tcPr>
            <w:tcW w:w="4900" w:type="dxa"/>
            <w:gridSpan w:val="3"/>
            <w:tcBorders>
              <w:top w:val="single" w:color="000000" w:sz="4" w:space="0"/>
              <w:left w:val="single" w:color="000000" w:sz="4" w:space="0"/>
              <w:bottom w:val="single" w:color="000000" w:sz="4" w:space="0"/>
              <w:right w:val="single" w:color="000000" w:sz="4" w:space="0"/>
            </w:tcBorders>
            <w:noWrap w:val="0"/>
            <w:vAlign w:val="center"/>
          </w:tcPr>
          <w:p w14:paraId="7ACCD950">
            <w:pPr>
              <w:widowControl/>
              <w:jc w:val="center"/>
              <w:textAlignment w:val="center"/>
              <w:rPr>
                <w:rFonts w:hint="eastAsia" w:ascii="宋体" w:hAnsi="宋体" w:cs="宋体"/>
                <w:b/>
                <w:bCs/>
                <w:sz w:val="21"/>
                <w:szCs w:val="21"/>
              </w:rPr>
            </w:pPr>
            <w:r>
              <w:rPr>
                <w:rFonts w:hint="eastAsia" w:ascii="宋体" w:hAnsi="宋体" w:cs="宋体"/>
                <w:b/>
                <w:bCs/>
                <w:kern w:val="0"/>
                <w:sz w:val="21"/>
                <w:szCs w:val="21"/>
                <w:lang w:bidi="ar"/>
              </w:rPr>
              <w:t>消防维保服务内容</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6A89BCB">
            <w:pPr>
              <w:widowControl/>
              <w:jc w:val="center"/>
              <w:textAlignment w:val="center"/>
              <w:rPr>
                <w:rFonts w:hint="eastAsia" w:ascii="宋体" w:hAnsi="宋体" w:cs="宋体"/>
                <w:b/>
                <w:bCs/>
                <w:sz w:val="21"/>
                <w:szCs w:val="21"/>
              </w:rPr>
            </w:pPr>
            <w:r>
              <w:rPr>
                <w:rFonts w:hint="eastAsia" w:ascii="宋体" w:hAnsi="宋体" w:cs="宋体"/>
                <w:b/>
                <w:bCs/>
                <w:kern w:val="0"/>
                <w:sz w:val="21"/>
                <w:szCs w:val="21"/>
                <w:lang w:bidi="ar"/>
              </w:rPr>
              <w:t>考核时间</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8DA3A16">
            <w:pPr>
              <w:widowControl/>
              <w:jc w:val="center"/>
              <w:textAlignment w:val="center"/>
              <w:rPr>
                <w:rFonts w:hint="eastAsia" w:ascii="宋体" w:hAnsi="宋体" w:cs="宋体"/>
                <w:b/>
                <w:bCs/>
                <w:sz w:val="21"/>
                <w:szCs w:val="21"/>
              </w:rPr>
            </w:pPr>
            <w:r>
              <w:rPr>
                <w:rFonts w:hint="eastAsia" w:ascii="宋体" w:hAnsi="宋体" w:cs="宋体"/>
                <w:b/>
                <w:bCs/>
                <w:kern w:val="0"/>
                <w:sz w:val="21"/>
                <w:szCs w:val="21"/>
                <w:lang w:bidi="ar"/>
              </w:rPr>
              <w:t>考核情况</w:t>
            </w: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6628C194">
            <w:pPr>
              <w:widowControl/>
              <w:jc w:val="center"/>
              <w:textAlignment w:val="center"/>
              <w:rPr>
                <w:rFonts w:hint="eastAsia" w:ascii="宋体" w:hAnsi="宋体" w:cs="宋体"/>
                <w:b/>
                <w:bCs/>
                <w:sz w:val="21"/>
                <w:szCs w:val="21"/>
              </w:rPr>
            </w:pPr>
            <w:r>
              <w:rPr>
                <w:rFonts w:hint="eastAsia" w:ascii="宋体" w:hAnsi="宋体" w:cs="宋体"/>
                <w:b/>
                <w:bCs/>
                <w:kern w:val="0"/>
                <w:sz w:val="21"/>
                <w:szCs w:val="21"/>
                <w:lang w:bidi="ar"/>
              </w:rPr>
              <w:t>考核处理标准</w:t>
            </w:r>
          </w:p>
        </w:tc>
      </w:tr>
      <w:tr w14:paraId="61674552">
        <w:tblPrEx>
          <w:tblCellMar>
            <w:top w:w="0" w:type="dxa"/>
            <w:left w:w="108" w:type="dxa"/>
            <w:bottom w:w="0" w:type="dxa"/>
            <w:right w:w="108" w:type="dxa"/>
          </w:tblCellMar>
        </w:tblPrEx>
        <w:tc>
          <w:tcPr>
            <w:tcW w:w="1040" w:type="dxa"/>
            <w:vMerge w:val="restart"/>
            <w:tcBorders>
              <w:top w:val="single" w:color="000000" w:sz="4" w:space="0"/>
              <w:left w:val="single" w:color="000000" w:sz="4" w:space="0"/>
              <w:bottom w:val="single" w:color="000000" w:sz="4" w:space="0"/>
              <w:right w:val="single" w:color="000000" w:sz="4" w:space="0"/>
            </w:tcBorders>
            <w:noWrap w:val="0"/>
            <w:vAlign w:val="center"/>
          </w:tcPr>
          <w:p w14:paraId="702FDB31">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火灾自动报警系统</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1CAF004C">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火灾探测器</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122FD8B">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每月检查外部设备运行是否正常，人为抽样探测器故障试验，模拟动作试验，确定其报警、报故障是否在主机上同步显示，其报警地址号是否与CRT平面布置图上编号一致。</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492B4661">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26904834">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9B61972">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color w:val="auto"/>
                <w:kern w:val="0"/>
                <w:sz w:val="21"/>
                <w:szCs w:val="21"/>
                <w:lang w:val="en-US" w:eastAsia="zh-CN" w:bidi="ar"/>
              </w:rPr>
              <w:t>1</w:t>
            </w:r>
            <w:r>
              <w:rPr>
                <w:rFonts w:hint="eastAsia" w:ascii="宋体" w:hAnsi="宋体" w:cs="宋体"/>
                <w:color w:val="auto"/>
                <w:kern w:val="0"/>
                <w:sz w:val="21"/>
                <w:szCs w:val="21"/>
                <w:lang w:bidi="ar"/>
              </w:rPr>
              <w:t>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79F65677">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6F8366">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787C9AD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火灾报警控制器</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71FB6859">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每月试验火警报警、故障报警、火警优先、打印机打印、自检、消音、复位、供电系统主备电互切换等功能，火灾显示盘和CRT显示器的报警、显示和记忆功能。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134859A">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CCB1137">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70244F8D">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3141D3B2">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7A831">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495D3DD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手动报警按钮</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817002D">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每月人为抽样对手动报警按钮进行模拟火灾响应试验和故障报警试验。</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C18CCE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0367CE3">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662D28BD">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3D88E44D">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0756BA">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45AABC0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警报装置</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3EAD85D">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每月人为抽样对警铃或声光报警进行模拟火灾状态下的响应试验。</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4050C0D0">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979DA82">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500041A3">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5038CA56">
        <w:tblPrEx>
          <w:tblCellMar>
            <w:top w:w="0" w:type="dxa"/>
            <w:left w:w="108" w:type="dxa"/>
            <w:bottom w:w="0" w:type="dxa"/>
            <w:right w:w="108" w:type="dxa"/>
          </w:tblCellMar>
        </w:tblPrEx>
        <w:trPr>
          <w:trHeight w:val="1225" w:hRule="atLeast"/>
        </w:trPr>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7CFCE">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4E1EB466">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消防联动控制器</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94AAC92">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每月试验联动控制器及控制模块的手动、自动联动控制功能，试验控制器显示功能，远程操作消防喷淋水泵、消火栓水泵、防排烟风机、防火卷帘等重要设施。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D4FE7E9">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E2CB871">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61E7DF45">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2DB8C871">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1B828B">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60A7DAD2">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消防联动控制器</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5D7667C8">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每月实验主、备用电源切换功能，备用电源充电、</w:t>
            </w:r>
            <w:r>
              <w:rPr>
                <w:rFonts w:hint="eastAsia" w:ascii="宋体" w:hAnsi="宋体" w:cs="宋体"/>
                <w:kern w:val="0"/>
                <w:sz w:val="21"/>
                <w:szCs w:val="21"/>
                <w:lang w:val="en-US" w:eastAsia="zh-CN" w:bidi="ar"/>
              </w:rPr>
              <w:t>防过电</w:t>
            </w:r>
            <w:r>
              <w:rPr>
                <w:rFonts w:hint="eastAsia" w:ascii="宋体" w:hAnsi="宋体" w:cs="宋体"/>
                <w:kern w:val="0"/>
                <w:sz w:val="21"/>
                <w:szCs w:val="21"/>
                <w:lang w:bidi="ar"/>
              </w:rPr>
              <w:t>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53AC02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662227D">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0D042D7D">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14C0664A">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1C1E62">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7195F6A4">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联动控制功能</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F0E8589">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季度对每个保护区进行一次模拟自动启动试验，在模拟启动前，应先将启动电磁阀控制线取掉，然后在保护区吹烟探测器、温探测器加温测试报警功能，保护区的声、光报警功能，用万用表测试启动电压是否到位。</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4420E0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每季度</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3B96AD14">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11A7A48A">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62E84392">
        <w:tblPrEx>
          <w:tblCellMar>
            <w:top w:w="0" w:type="dxa"/>
            <w:left w:w="108" w:type="dxa"/>
            <w:bottom w:w="0" w:type="dxa"/>
            <w:right w:w="108" w:type="dxa"/>
          </w:tblCellMar>
        </w:tblPrEx>
        <w:tc>
          <w:tcPr>
            <w:tcW w:w="1040" w:type="dxa"/>
            <w:vMerge w:val="restart"/>
            <w:tcBorders>
              <w:top w:val="single" w:color="000000" w:sz="4" w:space="0"/>
              <w:left w:val="single" w:color="000000" w:sz="4" w:space="0"/>
              <w:bottom w:val="single" w:color="000000" w:sz="4" w:space="0"/>
              <w:right w:val="single" w:color="000000" w:sz="4" w:space="0"/>
            </w:tcBorders>
            <w:noWrap w:val="0"/>
            <w:vAlign w:val="center"/>
          </w:tcPr>
          <w:p w14:paraId="2BC3608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消防供水设施</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37A0D8D4">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消防水池</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59DC543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每月核对消防水池储水量水位，供水设施如：水位控制阀、补水水泵，控制柜（箱）各按钮、指示灯、接触器等元器件是否正常。</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D6FCD4B">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22281EA">
            <w:pPr>
              <w:jc w:val="center"/>
              <w:rPr>
                <w:rFonts w:hint="eastAsia" w:ascii="宋体" w:hAnsi="宋体" w:cs="宋体"/>
                <w:sz w:val="21"/>
                <w:szCs w:val="21"/>
                <w:highlight w:val="none"/>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54C106DD">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所有需要每月测试的设施设备标明分区域，保证一年内测试完所有点位。未进行测试扣减</w:t>
            </w:r>
            <w:r>
              <w:rPr>
                <w:rFonts w:hint="eastAsia" w:ascii="宋体" w:hAnsi="宋体" w:cs="宋体"/>
                <w:kern w:val="0"/>
                <w:sz w:val="21"/>
                <w:szCs w:val="21"/>
                <w:highlight w:val="none"/>
                <w:lang w:val="en-US" w:eastAsia="zh-CN" w:bidi="ar"/>
              </w:rPr>
              <w:t>100</w:t>
            </w:r>
            <w:r>
              <w:rPr>
                <w:rFonts w:hint="eastAsia" w:ascii="宋体" w:hAnsi="宋体" w:cs="宋体"/>
                <w:kern w:val="0"/>
                <w:sz w:val="21"/>
                <w:szCs w:val="21"/>
                <w:highlight w:val="none"/>
                <w:lang w:bidi="ar"/>
              </w:rPr>
              <w:t>.00元。无此项设施或因</w:t>
            </w:r>
            <w:r>
              <w:rPr>
                <w:rFonts w:hint="eastAsia" w:ascii="宋体" w:hAnsi="宋体" w:cs="宋体"/>
                <w:kern w:val="0"/>
                <w:sz w:val="21"/>
                <w:szCs w:val="21"/>
                <w:highlight w:val="none"/>
                <w:lang w:eastAsia="zh-CN" w:bidi="ar"/>
              </w:rPr>
              <w:t>采购人</w:t>
            </w:r>
            <w:r>
              <w:rPr>
                <w:rFonts w:hint="eastAsia" w:ascii="宋体" w:hAnsi="宋体" w:cs="宋体"/>
                <w:kern w:val="0"/>
                <w:sz w:val="21"/>
                <w:szCs w:val="21"/>
                <w:highlight w:val="none"/>
                <w:lang w:bidi="ar"/>
              </w:rPr>
              <w:t>原因未测试不计入考核。</w:t>
            </w:r>
          </w:p>
        </w:tc>
      </w:tr>
      <w:tr w14:paraId="3F590FCE">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098B45">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7F82C827">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消防水箱</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57B039A">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每月核对消防水箱储水量，水位控制阀是否正常完好。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4208C6B">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B54A515">
            <w:pPr>
              <w:jc w:val="center"/>
              <w:rPr>
                <w:rFonts w:hint="eastAsia" w:ascii="宋体" w:hAnsi="宋体" w:cs="宋体"/>
                <w:sz w:val="21"/>
                <w:szCs w:val="21"/>
                <w:highlight w:val="none"/>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94C41CE">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所有需要每月测试的设施设备标明分区域，保证一年内测试完所有点位。未进行测试扣减</w:t>
            </w:r>
            <w:r>
              <w:rPr>
                <w:rFonts w:hint="eastAsia" w:ascii="宋体" w:hAnsi="宋体" w:cs="宋体"/>
                <w:kern w:val="0"/>
                <w:sz w:val="21"/>
                <w:szCs w:val="21"/>
                <w:highlight w:val="none"/>
                <w:lang w:val="en-US" w:eastAsia="zh-CN" w:bidi="ar"/>
              </w:rPr>
              <w:t>100</w:t>
            </w:r>
            <w:r>
              <w:rPr>
                <w:rFonts w:hint="eastAsia" w:ascii="宋体" w:hAnsi="宋体" w:cs="宋体"/>
                <w:kern w:val="0"/>
                <w:sz w:val="21"/>
                <w:szCs w:val="21"/>
                <w:highlight w:val="none"/>
                <w:lang w:bidi="ar"/>
              </w:rPr>
              <w:t>.00元。无此项设施或因</w:t>
            </w:r>
            <w:r>
              <w:rPr>
                <w:rFonts w:hint="eastAsia" w:ascii="宋体" w:hAnsi="宋体" w:cs="宋体"/>
                <w:kern w:val="0"/>
                <w:sz w:val="21"/>
                <w:szCs w:val="21"/>
                <w:highlight w:val="none"/>
                <w:lang w:eastAsia="zh-CN" w:bidi="ar"/>
              </w:rPr>
              <w:t>采购人</w:t>
            </w:r>
            <w:r>
              <w:rPr>
                <w:rFonts w:hint="eastAsia" w:ascii="宋体" w:hAnsi="宋体" w:cs="宋体"/>
                <w:kern w:val="0"/>
                <w:sz w:val="21"/>
                <w:szCs w:val="21"/>
                <w:highlight w:val="none"/>
                <w:lang w:bidi="ar"/>
              </w:rPr>
              <w:t>原因未测试不计入考核。</w:t>
            </w:r>
          </w:p>
        </w:tc>
      </w:tr>
      <w:tr w14:paraId="219C1830">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BE61ED">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04941BF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稳（增）压泵及气压水罐</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3C87D01">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每月模拟系统渗漏，测试稳压泵、增压泵及气压水罐稳压、增压能力，主、备泵切换功能，启泵、停泵时的压力工况。</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59F60F4">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2591179">
            <w:pPr>
              <w:jc w:val="center"/>
              <w:rPr>
                <w:rFonts w:hint="eastAsia" w:ascii="宋体" w:hAnsi="宋体" w:cs="宋体"/>
                <w:sz w:val="21"/>
                <w:szCs w:val="21"/>
                <w:highlight w:val="none"/>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0037AEAF">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所有需要每月测试的设施设备标明分区域，保证一年内测试完所有点位。未进行测试扣减</w:t>
            </w:r>
            <w:r>
              <w:rPr>
                <w:rFonts w:hint="eastAsia" w:ascii="宋体" w:hAnsi="宋体" w:cs="宋体"/>
                <w:kern w:val="0"/>
                <w:sz w:val="21"/>
                <w:szCs w:val="21"/>
                <w:highlight w:val="none"/>
                <w:lang w:val="en-US" w:eastAsia="zh-CN" w:bidi="ar"/>
              </w:rPr>
              <w:t>100</w:t>
            </w:r>
            <w:r>
              <w:rPr>
                <w:rFonts w:hint="eastAsia" w:ascii="宋体" w:hAnsi="宋体" w:cs="宋体"/>
                <w:kern w:val="0"/>
                <w:sz w:val="21"/>
                <w:szCs w:val="21"/>
                <w:highlight w:val="none"/>
                <w:lang w:bidi="ar"/>
              </w:rPr>
              <w:t>.00元。无此项设施或因</w:t>
            </w:r>
            <w:r>
              <w:rPr>
                <w:rFonts w:hint="eastAsia" w:ascii="宋体" w:hAnsi="宋体" w:cs="宋体"/>
                <w:kern w:val="0"/>
                <w:sz w:val="21"/>
                <w:szCs w:val="21"/>
                <w:highlight w:val="none"/>
                <w:lang w:eastAsia="zh-CN" w:bidi="ar"/>
              </w:rPr>
              <w:t>采购人</w:t>
            </w:r>
            <w:r>
              <w:rPr>
                <w:rFonts w:hint="eastAsia" w:ascii="宋体" w:hAnsi="宋体" w:cs="宋体"/>
                <w:kern w:val="0"/>
                <w:sz w:val="21"/>
                <w:szCs w:val="21"/>
                <w:highlight w:val="none"/>
                <w:lang w:bidi="ar"/>
              </w:rPr>
              <w:t>原因未测试不计入考核。</w:t>
            </w:r>
          </w:p>
        </w:tc>
      </w:tr>
      <w:tr w14:paraId="5CDD825E">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1532AD">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091D5B4B">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消防水泵及控制柜</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6416E24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试验消防水泵的手动/自动启泵功能和主、备泵切换功能；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73902B9">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8F76115">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0841C2AF">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573073A7">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F35F53">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3262F11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消防水泵及控制柜</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691A14B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每月检查消防泵房的工作环境、消防泵、稳压设备、电源控制柜是否处于正常完好状态。</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A4EBEE4">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7F72997E">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39C2DAC">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2E8FF710">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7BE123">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08375942">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阀门</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747130B9">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每月人为抽样管道阀门启闭功能，观察管网阀门是否处于正常使用状态，标准是否明示。</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067C039">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CD4DF31">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A3C76A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0CF52DE2">
        <w:tblPrEx>
          <w:tblCellMar>
            <w:top w:w="0" w:type="dxa"/>
            <w:left w:w="108" w:type="dxa"/>
            <w:bottom w:w="0" w:type="dxa"/>
            <w:right w:w="108" w:type="dxa"/>
          </w:tblCellMar>
        </w:tblPrEx>
        <w:tc>
          <w:tcPr>
            <w:tcW w:w="1040" w:type="dxa"/>
            <w:vMerge w:val="restart"/>
            <w:tcBorders>
              <w:top w:val="single" w:color="000000" w:sz="4" w:space="0"/>
              <w:left w:val="single" w:color="000000" w:sz="4" w:space="0"/>
              <w:bottom w:val="single" w:color="000000" w:sz="4" w:space="0"/>
              <w:right w:val="single" w:color="000000" w:sz="4" w:space="0"/>
            </w:tcBorders>
            <w:noWrap w:val="0"/>
            <w:vAlign w:val="center"/>
          </w:tcPr>
          <w:p w14:paraId="52146169">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消火栓灭火系统</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451A5C6A">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室内消火栓</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28C91C6A">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每月试验屋顶消火栓出水压力和消火栓静压、人为抽样试验室内消火栓出水压力和消火栓静压。</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49A1F6D8">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BB19B0D">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9FFDB02">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3CB30398">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0E49D1">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19E36A9A">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消防水枪</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6FD93E08">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屋顶消火栓射水实验。</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313DEDC">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36E3167">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77528211">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5B2F87ED">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BAB5DE">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6C8C8AD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室外消火栓</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23990B8">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每月试验室外消火栓出水压力和消火栓静压。</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8D890B7">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28EAFA4B">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14D40BF7">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79DEAA61">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F174AE">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175B4674">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消防炮(自动跟踪定位射流灭火系统 )</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A14DE9B">
            <w:pPr>
              <w:widowControl/>
              <w:jc w:val="left"/>
              <w:textAlignment w:val="center"/>
              <w:rPr>
                <w:rFonts w:hint="eastAsia" w:ascii="宋体" w:hAnsi="宋体" w:cs="宋体"/>
                <w:sz w:val="21"/>
                <w:szCs w:val="21"/>
              </w:rPr>
            </w:pPr>
            <w:r>
              <w:rPr>
                <w:rFonts w:hint="eastAsia" w:ascii="宋体" w:hAnsi="宋体" w:cs="宋体"/>
                <w:kern w:val="0"/>
                <w:sz w:val="21"/>
                <w:szCs w:val="21"/>
                <w:lang w:bidi="ar"/>
              </w:rPr>
              <w:t>试验手动、遥控操作功能，实验手动按钮启泵功能。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443EDA36">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CE2B591">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59D38E4B">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615BC3D4">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1EC9EA">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2A6ACD8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启泵按钮</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28C1E9C7">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每月试验启泵按钮远距离启泵功能及信号指示功能。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CDE1BC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3EBA1E49">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15632A97">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450623F0">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1368C1">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160221A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联动控制功能</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88E0338">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在自动方式下，分别利用远距离启泵按钮、消防联动控制盘启泵按钮启动消防水泵，测试最不利点消火栓出水压力及流量。每季度用末端放水装置进行放水试验，检查水流指示器和压力开关的报警功能信号显示是否正常。</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5080D16">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EC6EB87">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0AFD23DD">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42ACD1C5">
        <w:tblPrEx>
          <w:tblCellMar>
            <w:top w:w="0" w:type="dxa"/>
            <w:left w:w="108" w:type="dxa"/>
            <w:bottom w:w="0" w:type="dxa"/>
            <w:right w:w="108" w:type="dxa"/>
          </w:tblCellMar>
        </w:tblPrEx>
        <w:tc>
          <w:tcPr>
            <w:tcW w:w="1040" w:type="dxa"/>
            <w:vMerge w:val="restart"/>
            <w:tcBorders>
              <w:top w:val="single" w:color="000000" w:sz="4" w:space="0"/>
              <w:left w:val="single" w:color="000000" w:sz="4" w:space="0"/>
              <w:bottom w:val="single" w:color="000000" w:sz="4" w:space="0"/>
              <w:right w:val="single" w:color="000000" w:sz="4" w:space="0"/>
            </w:tcBorders>
            <w:noWrap w:val="0"/>
            <w:vAlign w:val="center"/>
          </w:tcPr>
          <w:p w14:paraId="712B1067">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自动喷水灭火系统</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623D10A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报警阀组</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6556E9F">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每月试验报警阀组试验排放阀排水功能、压力开关、水力警铃报警功能。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904C2D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D934A4E">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076628EC">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65D56B9C">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305C22">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3DDC4C90">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末端试水装置</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780FE2A2">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检查外观、阀门完好情况；试验末端防水测试工作压力，检查水流指示器、压力开关动作信号。</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C9D508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3531BC6A">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14F1E9A2">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10995268">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60A3FD">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0CA5E10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水流指示器</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F65150E">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检查外观完好情况，核对反馈信号。</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5016552">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37C6D682">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745F2FC8">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400D5FCC">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319FA3">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1EFEBD7B">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压力开关</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B54479B">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检查外观完好情况，核对反馈信号。</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6DB8AD1">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4D3F58D">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2BAEC35F">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046055E0">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07C830">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7939BB60">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联动控制功能</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3A057F0">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在系统末端放水或排气，进行系统联动功能试验，测试水流指示器、压力开关、水力警铃报警功能。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4B0565F9">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B286729">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6FE2021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5F73172B">
        <w:tblPrEx>
          <w:tblCellMar>
            <w:top w:w="0" w:type="dxa"/>
            <w:left w:w="108" w:type="dxa"/>
            <w:bottom w:w="0" w:type="dxa"/>
            <w:right w:w="108" w:type="dxa"/>
          </w:tblCellMar>
        </w:tblPrEx>
        <w:tc>
          <w:tcPr>
            <w:tcW w:w="1040" w:type="dxa"/>
            <w:vMerge w:val="restart"/>
            <w:tcBorders>
              <w:top w:val="single" w:color="000000" w:sz="4" w:space="0"/>
              <w:left w:val="single" w:color="000000" w:sz="4" w:space="0"/>
              <w:bottom w:val="single" w:color="000000" w:sz="4" w:space="0"/>
              <w:right w:val="single" w:color="000000" w:sz="4" w:space="0"/>
            </w:tcBorders>
            <w:noWrap w:val="0"/>
            <w:vAlign w:val="center"/>
          </w:tcPr>
          <w:p w14:paraId="4BDE21C4">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气体灭火系统</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1741D9D8">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瓶组与储罐</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786F435">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核对灭火剂储存量。</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02BE7FA">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CCB7D04">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5F53AE07">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151FF3F8">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296369">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6A4F54C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紧急启/停功能</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7DA918F">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测试紧急启动/停止按钮的功能。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D53C42C">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4142B60">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77D477E4">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75362039">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F43810">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707E8E3A">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启动装置、选择阀</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BD8D910">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测试启动装置、选择阀手动启动功能。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7B248E8">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39C7DA3F">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BF46002">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23179C0C">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54CEA6">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729E04D6">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联动控制功能</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8EE4562">
            <w:pPr>
              <w:widowControl/>
              <w:jc w:val="left"/>
              <w:textAlignment w:val="center"/>
              <w:rPr>
                <w:rFonts w:hint="eastAsia" w:ascii="宋体" w:hAnsi="宋体" w:cs="宋体"/>
                <w:sz w:val="21"/>
                <w:szCs w:val="21"/>
              </w:rPr>
            </w:pPr>
            <w:r>
              <w:rPr>
                <w:rFonts w:hint="eastAsia" w:ascii="宋体" w:hAnsi="宋体" w:cs="宋体"/>
                <w:kern w:val="0"/>
                <w:sz w:val="21"/>
                <w:szCs w:val="21"/>
                <w:lang w:bidi="ar"/>
              </w:rPr>
              <w:t>以自动方式进行模拟喷气试验，检验系统报警、联动功能。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20FCD8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74E5473">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91513EF">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178158C1">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E36F48">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4D537D24">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通风换气设备</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6EDDA6E">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测试通风换气功能。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2E0D231">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520A14F">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2EB30600">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2E56321D">
        <w:tblPrEx>
          <w:tblCellMar>
            <w:top w:w="0" w:type="dxa"/>
            <w:left w:w="108" w:type="dxa"/>
            <w:bottom w:w="0" w:type="dxa"/>
            <w:right w:w="108" w:type="dxa"/>
          </w:tblCellMar>
        </w:tblPrEx>
        <w:tc>
          <w:tcPr>
            <w:tcW w:w="1040" w:type="dxa"/>
            <w:vMerge w:val="restart"/>
            <w:tcBorders>
              <w:top w:val="single" w:color="000000" w:sz="4" w:space="0"/>
              <w:left w:val="single" w:color="000000" w:sz="4" w:space="0"/>
              <w:bottom w:val="single" w:color="000000" w:sz="4" w:space="0"/>
              <w:right w:val="single" w:color="000000" w:sz="4" w:space="0"/>
            </w:tcBorders>
            <w:noWrap w:val="0"/>
            <w:vAlign w:val="center"/>
          </w:tcPr>
          <w:p w14:paraId="693F1329">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机械加压送风系统</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6C84311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送风口、送风阀</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2F6FB19">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测试手动、自动开启功能。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9B6BB74">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61B796E">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5E680D03">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569B435C">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BEEC9C">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1A8D22A0">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送风机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27CFB4B7">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测试手动、自动启动、停止功能。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7AB6506">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79618855">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0791882C">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3ACF879C">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2D699B">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570AB15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联动控制功能</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4B79404">
            <w:pPr>
              <w:widowControl/>
              <w:jc w:val="left"/>
              <w:textAlignment w:val="center"/>
              <w:rPr>
                <w:rFonts w:hint="eastAsia" w:ascii="宋体" w:hAnsi="宋体" w:cs="宋体"/>
                <w:sz w:val="21"/>
                <w:szCs w:val="21"/>
              </w:rPr>
            </w:pPr>
            <w:r>
              <w:rPr>
                <w:rFonts w:hint="eastAsia" w:ascii="宋体" w:hAnsi="宋体" w:cs="宋体"/>
                <w:kern w:val="0"/>
                <w:sz w:val="21"/>
                <w:szCs w:val="21"/>
                <w:lang w:bidi="ar"/>
              </w:rPr>
              <w:t>通过报警联动，检查防火阀、送风阀自动开启，风机自动启动功能。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883E874">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每季度</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A0600E8">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14778EF8">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3643516A">
        <w:tblPrEx>
          <w:tblCellMar>
            <w:top w:w="0" w:type="dxa"/>
            <w:left w:w="108" w:type="dxa"/>
            <w:bottom w:w="0" w:type="dxa"/>
            <w:right w:w="108" w:type="dxa"/>
          </w:tblCellMar>
        </w:tblPrEx>
        <w:tc>
          <w:tcPr>
            <w:tcW w:w="1040" w:type="dxa"/>
            <w:vMerge w:val="restart"/>
            <w:tcBorders>
              <w:top w:val="single" w:color="000000" w:sz="4" w:space="0"/>
              <w:left w:val="single" w:color="000000" w:sz="4" w:space="0"/>
              <w:bottom w:val="single" w:color="000000" w:sz="4" w:space="0"/>
              <w:right w:val="single" w:color="000000" w:sz="4" w:space="0"/>
            </w:tcBorders>
            <w:noWrap w:val="0"/>
            <w:vAlign w:val="center"/>
          </w:tcPr>
          <w:p w14:paraId="7A8C9F61">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机械排烟系统</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79F54755">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自</w:t>
            </w:r>
            <w:r>
              <w:rPr>
                <w:rFonts w:hint="eastAsia" w:ascii="宋体" w:hAnsi="宋体" w:cs="宋体"/>
                <w:kern w:val="0"/>
                <w:sz w:val="21"/>
                <w:szCs w:val="21"/>
                <w:lang w:val="en-US" w:eastAsia="zh-CN" w:bidi="ar"/>
              </w:rPr>
              <w:t>然</w:t>
            </w:r>
            <w:r>
              <w:rPr>
                <w:rFonts w:hint="eastAsia" w:ascii="宋体" w:hAnsi="宋体" w:cs="宋体"/>
                <w:kern w:val="0"/>
                <w:sz w:val="21"/>
                <w:szCs w:val="21"/>
                <w:lang w:bidi="ar"/>
              </w:rPr>
              <w:t>排烟设施</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73D52DA1">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测试自</w:t>
            </w:r>
            <w:r>
              <w:rPr>
                <w:rFonts w:hint="eastAsia" w:ascii="宋体" w:hAnsi="宋体" w:cs="宋体"/>
                <w:kern w:val="0"/>
                <w:sz w:val="21"/>
                <w:szCs w:val="21"/>
                <w:lang w:val="en-US" w:eastAsia="zh-CN" w:bidi="ar"/>
              </w:rPr>
              <w:t>然</w:t>
            </w:r>
            <w:r>
              <w:rPr>
                <w:rFonts w:hint="eastAsia" w:ascii="宋体" w:hAnsi="宋体" w:cs="宋体"/>
                <w:kern w:val="0"/>
                <w:sz w:val="21"/>
                <w:szCs w:val="21"/>
                <w:lang w:bidi="ar"/>
              </w:rPr>
              <w:t>排烟窗的开启面积、开启方式。</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8241B26">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2365802">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7A7A3EDD">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1C505B74">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04C8DE">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3D53A66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排烟口、排烟阀、电动排烟窗、电动挡烟垂壁、排烟防火阀</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D5815F0">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测试排烟阀、电动排烟窗手动/自动开启功能，测试电动挡烟垂壁的释放功能，测试排烟防火阀的工作性能。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B1C51F9">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32678F9F">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65D06D08">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2786085F">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C06CA3">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34847D2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排烟风机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E18615F">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测试手动/自动启动、停止功能，测试排烟防火阀联动停止功能。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B968F5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8901535">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256CBBDF">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372099B1">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334C68">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20B576F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联动控制功能</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5315D28A">
            <w:pPr>
              <w:widowControl/>
              <w:jc w:val="left"/>
              <w:textAlignment w:val="center"/>
              <w:rPr>
                <w:rFonts w:hint="eastAsia" w:ascii="宋体" w:hAnsi="宋体" w:cs="宋体"/>
                <w:sz w:val="21"/>
                <w:szCs w:val="21"/>
              </w:rPr>
            </w:pPr>
            <w:r>
              <w:rPr>
                <w:rFonts w:hint="eastAsia" w:ascii="宋体" w:hAnsi="宋体" w:cs="宋体"/>
                <w:kern w:val="0"/>
                <w:sz w:val="21"/>
                <w:szCs w:val="21"/>
                <w:lang w:bidi="ar"/>
              </w:rPr>
              <w:t>通过报警联动，检查电动挡烟垂壁、电动排烟阀、电动排烟窗的功能，检查排烟机的性能。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4883ACC">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CB7C7C4">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0CA92220">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4E63C333">
        <w:tblPrEx>
          <w:tblCellMar>
            <w:top w:w="0" w:type="dxa"/>
            <w:left w:w="108" w:type="dxa"/>
            <w:bottom w:w="0" w:type="dxa"/>
            <w:right w:w="108" w:type="dxa"/>
          </w:tblCellMar>
        </w:tblPrEx>
        <w:tc>
          <w:tcPr>
            <w:tcW w:w="1040" w:type="dxa"/>
            <w:vMerge w:val="restart"/>
            <w:tcBorders>
              <w:top w:val="single" w:color="000000" w:sz="4" w:space="0"/>
              <w:left w:val="single" w:color="000000" w:sz="4" w:space="0"/>
              <w:bottom w:val="single" w:color="000000" w:sz="4" w:space="0"/>
              <w:right w:val="single" w:color="000000" w:sz="4" w:space="0"/>
            </w:tcBorders>
            <w:noWrap w:val="0"/>
            <w:vAlign w:val="center"/>
          </w:tcPr>
          <w:p w14:paraId="2A28E0E5">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防火分隔</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6B1B9DE0">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防火门</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56BF3072">
            <w:pPr>
              <w:widowControl/>
              <w:jc w:val="left"/>
              <w:textAlignment w:val="center"/>
              <w:rPr>
                <w:rFonts w:hint="eastAsia" w:ascii="宋体" w:hAnsi="宋体" w:cs="宋体"/>
                <w:sz w:val="21"/>
                <w:szCs w:val="21"/>
              </w:rPr>
            </w:pPr>
            <w:r>
              <w:rPr>
                <w:rFonts w:hint="eastAsia" w:ascii="宋体" w:hAnsi="宋体" w:cs="宋体"/>
                <w:kern w:val="0"/>
                <w:sz w:val="21"/>
                <w:szCs w:val="21"/>
                <w:lang w:bidi="ar"/>
              </w:rPr>
              <w:t>试验非电动防火门的启闭功能及密封性能。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4E166D9A">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12FEDAF">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27D05940">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0A7210FB">
        <w:tblPrEx>
          <w:tblCellMar>
            <w:top w:w="0" w:type="dxa"/>
            <w:left w:w="108" w:type="dxa"/>
            <w:bottom w:w="0" w:type="dxa"/>
            <w:right w:w="108" w:type="dxa"/>
          </w:tblCellMar>
        </w:tblPrEx>
        <w:trPr>
          <w:trHeight w:val="1476" w:hRule="atLeast"/>
        </w:trPr>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AF9941">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446A90DA">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防火门</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30DBAE9">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测试电动防火门自动、现场释放功能及信号反馈功能。通过报警联动，检查电动防火门释放功能、喷水冷却装置的联动启动功能。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EBEB722">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827CE8D">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5EBFF82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74D68178">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928C0E">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116023A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防火卷帘</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54940091">
            <w:pPr>
              <w:widowControl/>
              <w:jc w:val="left"/>
              <w:textAlignment w:val="center"/>
              <w:rPr>
                <w:rFonts w:hint="eastAsia" w:ascii="宋体" w:hAnsi="宋体" w:cs="宋体"/>
                <w:sz w:val="21"/>
                <w:szCs w:val="21"/>
              </w:rPr>
            </w:pPr>
            <w:r>
              <w:rPr>
                <w:rFonts w:hint="eastAsia" w:ascii="宋体" w:hAnsi="宋体" w:cs="宋体"/>
                <w:kern w:val="0"/>
                <w:sz w:val="21"/>
                <w:szCs w:val="21"/>
                <w:lang w:bidi="ar"/>
              </w:rPr>
              <w:t>试验防火卷帘的手动、机械应急和自动控制功能。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6EB2A69">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10610D0">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697FE60F">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6C228B0C">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F337F6">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574BA026">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防火卷帘</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2419AD32">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检查信号反馈功能、封闭性能。通过报警联动，检查防火卷帘门自动释放功能及喷水冷却装置的联动启动功能，测试有延时功能的防火卷帘的延时时间。</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F1FF48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30ECADD">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2DA25594">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400C4354">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0E5649">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69E5589A">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电动防火阀</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6CCFB419">
            <w:pPr>
              <w:widowControl/>
              <w:jc w:val="left"/>
              <w:textAlignment w:val="center"/>
              <w:rPr>
                <w:rFonts w:hint="eastAsia" w:ascii="宋体" w:hAnsi="宋体" w:cs="宋体"/>
                <w:sz w:val="21"/>
                <w:szCs w:val="21"/>
              </w:rPr>
            </w:pPr>
            <w:r>
              <w:rPr>
                <w:rFonts w:hint="eastAsia" w:ascii="宋体" w:hAnsi="宋体" w:cs="宋体"/>
                <w:kern w:val="0"/>
                <w:sz w:val="21"/>
                <w:szCs w:val="21"/>
                <w:lang w:bidi="ar"/>
              </w:rPr>
              <w:t>通过报警联动，检查电动防火阀的关闭功能及密封性能。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EBDDD59">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6914054">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172ECD51">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4B7A233E">
        <w:tblPrEx>
          <w:tblCellMar>
            <w:top w:w="0" w:type="dxa"/>
            <w:left w:w="108" w:type="dxa"/>
            <w:bottom w:w="0" w:type="dxa"/>
            <w:right w:w="108" w:type="dxa"/>
          </w:tblCellMar>
        </w:tblPrEx>
        <w:tc>
          <w:tcPr>
            <w:tcW w:w="208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761AD8">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应急照明、疏散指示标志</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75EFE24D">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切断正常供电，测试应急灯具功能及照度。测试应急照明时间。</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A2F909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E2FCC1D">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1511AC71">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2A231258">
        <w:tblPrEx>
          <w:tblCellMar>
            <w:top w:w="0" w:type="dxa"/>
            <w:left w:w="108" w:type="dxa"/>
            <w:bottom w:w="0" w:type="dxa"/>
            <w:right w:w="108" w:type="dxa"/>
          </w:tblCellMar>
        </w:tblPrEx>
        <w:tc>
          <w:tcPr>
            <w:tcW w:w="20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EA8A30">
            <w:pPr>
              <w:jc w:val="center"/>
              <w:rPr>
                <w:rFonts w:hint="eastAsia" w:ascii="宋体" w:hAnsi="宋体" w:cs="宋体"/>
                <w:sz w:val="21"/>
                <w:szCs w:val="21"/>
              </w:rPr>
            </w:pP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1DAF727">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测试电源切换、充电、放电功能；测试应急电源供电时间，检查应急灯具自动投入功能。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48C79C6">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75CF21DF">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9B52919">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7E544C96">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07D3CD1B">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消防专用电话</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2B8F7F71">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每月测试消防电话主机与电话分机、插孔电话之间通话质量，电话主机录音功能。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C4CF0AB">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195F56D">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764C2E41">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424B59D3">
        <w:tblPrEx>
          <w:tblCellMar>
            <w:top w:w="0" w:type="dxa"/>
            <w:left w:w="108" w:type="dxa"/>
            <w:bottom w:w="0" w:type="dxa"/>
            <w:right w:w="108" w:type="dxa"/>
          </w:tblCellMar>
        </w:tblPrEx>
        <w:tc>
          <w:tcPr>
            <w:tcW w:w="1040" w:type="dxa"/>
            <w:vMerge w:val="restart"/>
            <w:tcBorders>
              <w:top w:val="single" w:color="000000" w:sz="4" w:space="0"/>
              <w:left w:val="single" w:color="000000" w:sz="4" w:space="0"/>
              <w:bottom w:val="single" w:color="000000" w:sz="4" w:space="0"/>
              <w:right w:val="single" w:color="000000" w:sz="4" w:space="0"/>
            </w:tcBorders>
            <w:noWrap w:val="0"/>
            <w:vAlign w:val="center"/>
          </w:tcPr>
          <w:p w14:paraId="281066D8">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应急广播系统</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2548705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扬声器</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5E7AF538">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测试音量、音质。</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79A6F7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931CC59">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5F4023C7">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3722746B">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273278">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3906790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功放、卡座、分配盘。</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2AFC2BF0">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每月测试卡座的播音、录音功能，测试功放的扩音功能，测试分配盘的选层广播功能，测试合用广播系统应急强制切换功能，测试主、备扩音机切换功能。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13928D2">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0710AB3">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D70D3C5">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7FDA001F">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AF2E37">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2DFC04A0">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联动控制功能</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1C288C9">
            <w:pPr>
              <w:widowControl/>
              <w:jc w:val="left"/>
              <w:textAlignment w:val="center"/>
              <w:rPr>
                <w:rFonts w:hint="eastAsia" w:ascii="宋体" w:hAnsi="宋体" w:cs="宋体"/>
                <w:sz w:val="21"/>
                <w:szCs w:val="21"/>
              </w:rPr>
            </w:pPr>
            <w:r>
              <w:rPr>
                <w:rFonts w:hint="eastAsia" w:ascii="宋体" w:hAnsi="宋体" w:cs="宋体"/>
                <w:kern w:val="0"/>
                <w:sz w:val="21"/>
                <w:szCs w:val="21"/>
                <w:lang w:bidi="ar"/>
              </w:rPr>
              <w:t>通过报警联动，检查合用广播系统应急强制切换功能、扬声器播音质量及音量，卡座录音功能，分配盘分区及选层广播功能。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684F18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每季度</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8A8E04A">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0B6F704C">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55AAACC2">
        <w:tblPrEx>
          <w:tblCellMar>
            <w:top w:w="0" w:type="dxa"/>
            <w:left w:w="108" w:type="dxa"/>
            <w:bottom w:w="0" w:type="dxa"/>
            <w:right w:w="108" w:type="dxa"/>
          </w:tblCellMar>
        </w:tblPrEx>
        <w:tc>
          <w:tcPr>
            <w:tcW w:w="1040" w:type="dxa"/>
            <w:tcBorders>
              <w:top w:val="single" w:color="000000" w:sz="4" w:space="0"/>
              <w:left w:val="single" w:color="000000" w:sz="4" w:space="0"/>
              <w:bottom w:val="single" w:color="000000" w:sz="4" w:space="0"/>
              <w:right w:val="single" w:color="000000" w:sz="4" w:space="0"/>
            </w:tcBorders>
            <w:noWrap w:val="0"/>
            <w:vAlign w:val="center"/>
          </w:tcPr>
          <w:p w14:paraId="34485B59">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0E9F759C">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电梯迫降</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90C238A">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测试首层按钮控制电梯回首层功能，通过报警联动，驾车你哈电梯自动迫降功能。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9764412">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0614388">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29CA65EE">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5FEA9FC3">
        <w:tblPrEx>
          <w:tblCellMar>
            <w:top w:w="0" w:type="dxa"/>
            <w:left w:w="108" w:type="dxa"/>
            <w:bottom w:w="0" w:type="dxa"/>
            <w:right w:w="108" w:type="dxa"/>
          </w:tblCellMar>
        </w:tblPrEx>
        <w:tc>
          <w:tcPr>
            <w:tcW w:w="1040" w:type="dxa"/>
            <w:tcBorders>
              <w:top w:val="single" w:color="000000" w:sz="4" w:space="0"/>
              <w:left w:val="single" w:color="000000" w:sz="4" w:space="0"/>
              <w:bottom w:val="single" w:color="000000" w:sz="4" w:space="0"/>
              <w:right w:val="single" w:color="000000" w:sz="4" w:space="0"/>
            </w:tcBorders>
            <w:noWrap w:val="0"/>
            <w:vAlign w:val="center"/>
          </w:tcPr>
          <w:p w14:paraId="130204AA">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电梯</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709EA64A">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应急操作</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6110EAF">
            <w:pPr>
              <w:widowControl/>
              <w:jc w:val="left"/>
              <w:textAlignment w:val="center"/>
              <w:rPr>
                <w:rFonts w:hint="eastAsia" w:ascii="宋体" w:hAnsi="宋体" w:cs="宋体"/>
                <w:sz w:val="21"/>
                <w:szCs w:val="21"/>
              </w:rPr>
            </w:pPr>
            <w:r>
              <w:rPr>
                <w:rFonts w:hint="eastAsia" w:ascii="宋体" w:hAnsi="宋体" w:cs="宋体"/>
                <w:kern w:val="0"/>
                <w:sz w:val="21"/>
                <w:szCs w:val="21"/>
                <w:lang w:bidi="ar"/>
              </w:rPr>
              <w:t>试验消防电梯应急操作功能、电梯轿厢内消防电话通话质量。</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2221BB0">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7982C502">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7B6A6400">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72F2C7E0">
        <w:tblPrEx>
          <w:tblCellMar>
            <w:top w:w="0" w:type="dxa"/>
            <w:left w:w="108" w:type="dxa"/>
            <w:bottom w:w="0" w:type="dxa"/>
            <w:right w:w="108" w:type="dxa"/>
          </w:tblCellMar>
        </w:tblPrEx>
        <w:tc>
          <w:tcPr>
            <w:tcW w:w="1040" w:type="dxa"/>
            <w:vMerge w:val="restart"/>
            <w:tcBorders>
              <w:top w:val="single" w:color="000000" w:sz="4" w:space="0"/>
              <w:left w:val="single" w:color="000000" w:sz="4" w:space="0"/>
              <w:bottom w:val="single" w:color="000000" w:sz="4" w:space="0"/>
              <w:right w:val="single" w:color="000000" w:sz="4" w:space="0"/>
            </w:tcBorders>
            <w:noWrap w:val="0"/>
            <w:vAlign w:val="center"/>
          </w:tcPr>
          <w:p w14:paraId="4FF91BE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消防供电配电</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72416552">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消防配电柜（箱）</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A88CCAA">
            <w:pPr>
              <w:widowControl/>
              <w:jc w:val="left"/>
              <w:textAlignment w:val="center"/>
              <w:rPr>
                <w:rFonts w:hint="eastAsia" w:ascii="宋体" w:hAnsi="宋体" w:cs="宋体"/>
                <w:sz w:val="21"/>
                <w:szCs w:val="21"/>
              </w:rPr>
            </w:pPr>
            <w:r>
              <w:rPr>
                <w:rFonts w:hint="eastAsia" w:ascii="宋体" w:hAnsi="宋体" w:cs="宋体"/>
                <w:kern w:val="0"/>
                <w:sz w:val="21"/>
                <w:szCs w:val="21"/>
                <w:lang w:bidi="ar"/>
              </w:rPr>
              <w:t>试验主、备电切换功能以及供电能力测试。</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1162E18">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36CE92AF">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1730B82F">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5C393220">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5606B">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3250FF37">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自备发电机组</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73B994F">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检查发电机组外观完好情况，试验手动/自动启动功能。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7DB19E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C72E5A5">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50E42DD1">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7F962411">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4A2D0B">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35ECB3E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应急电源</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43FA3F1">
            <w:pPr>
              <w:widowControl/>
              <w:jc w:val="left"/>
              <w:textAlignment w:val="center"/>
              <w:rPr>
                <w:rFonts w:hint="eastAsia" w:ascii="宋体" w:hAnsi="宋体" w:cs="宋体"/>
                <w:sz w:val="21"/>
                <w:szCs w:val="21"/>
              </w:rPr>
            </w:pPr>
            <w:r>
              <w:rPr>
                <w:rFonts w:hint="eastAsia" w:ascii="宋体" w:hAnsi="宋体" w:cs="宋体"/>
                <w:kern w:val="0"/>
                <w:sz w:val="21"/>
                <w:szCs w:val="21"/>
                <w:lang w:bidi="ar"/>
              </w:rPr>
              <w:t>试验应急电源充电、放电功能。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DD1CDF7">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26F56FE2">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5FABF467">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76CEC94A">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397D5">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7FB904E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储油设施</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E2EECE7">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核对储油量，检查储存设备外观完好情况，检查工作环境。</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5850FD5">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3CB1113">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97A7507">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072CB6F9">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D53414">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585C1515">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联动试验</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1937833">
            <w:pPr>
              <w:widowControl/>
              <w:jc w:val="left"/>
              <w:textAlignment w:val="center"/>
              <w:rPr>
                <w:rFonts w:hint="eastAsia" w:ascii="宋体" w:hAnsi="宋体" w:cs="宋体"/>
                <w:sz w:val="21"/>
                <w:szCs w:val="21"/>
              </w:rPr>
            </w:pPr>
            <w:r>
              <w:rPr>
                <w:rFonts w:hint="eastAsia" w:ascii="宋体" w:hAnsi="宋体" w:cs="宋体"/>
                <w:kern w:val="0"/>
                <w:sz w:val="21"/>
                <w:szCs w:val="21"/>
                <w:lang w:bidi="ar"/>
              </w:rPr>
              <w:t>试验非消防电源的联动切断功能。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C54531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F2A23C6">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CFD6DAC">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6C1C64A5">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5B93011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电气火灾监控系统</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686D1E13">
            <w:pPr>
              <w:widowControl/>
              <w:jc w:val="left"/>
              <w:textAlignment w:val="center"/>
              <w:rPr>
                <w:rFonts w:hint="eastAsia" w:ascii="宋体" w:hAnsi="宋体" w:cs="宋体"/>
                <w:sz w:val="21"/>
                <w:szCs w:val="21"/>
              </w:rPr>
            </w:pPr>
            <w:r>
              <w:rPr>
                <w:rFonts w:hint="eastAsia" w:ascii="宋体" w:hAnsi="宋体" w:cs="宋体"/>
                <w:kern w:val="0"/>
                <w:sz w:val="21"/>
                <w:szCs w:val="21"/>
                <w:lang w:bidi="ar"/>
              </w:rPr>
              <w:t>电气监控主机维护、末端设备维护等。</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C51F941">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5468AD4">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A97AF21">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0027495A">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05B24BD5">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消防电源监控系统</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53B1A91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电源监控主机维护、与消防主机通讯功能等维护。</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50D3430">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F6BA14C">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A13639C">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431CA92E">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43EE9DEB">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可燃气体探测报警系统</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63CCDB0A">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可燃气体主机维护、与消防主机通讯功能等维护。</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63B36F7">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715604C3">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BCA72B5">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20DB874A">
        <w:tblPrEx>
          <w:tblCellMar>
            <w:top w:w="0" w:type="dxa"/>
            <w:left w:w="108" w:type="dxa"/>
            <w:bottom w:w="0" w:type="dxa"/>
            <w:right w:w="108" w:type="dxa"/>
          </w:tblCellMar>
        </w:tblPrEx>
        <w:tc>
          <w:tcPr>
            <w:tcW w:w="208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882C77">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灭火器</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7C1080D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核对选型、压力和有效期。</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7002A1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4D80482">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5A76A81">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发现隐患及时上报。上报不及时或不报，扣减维保费用</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w:t>
            </w:r>
          </w:p>
        </w:tc>
      </w:tr>
      <w:tr w14:paraId="1B7C119A">
        <w:tblPrEx>
          <w:tblCellMar>
            <w:top w:w="0" w:type="dxa"/>
            <w:left w:w="108" w:type="dxa"/>
            <w:bottom w:w="0" w:type="dxa"/>
            <w:right w:w="108" w:type="dxa"/>
          </w:tblCellMar>
        </w:tblPrEx>
        <w:tc>
          <w:tcPr>
            <w:tcW w:w="20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C1FCEC">
            <w:pPr>
              <w:jc w:val="center"/>
              <w:rPr>
                <w:rFonts w:hint="eastAsia" w:ascii="宋体" w:hAnsi="宋体" w:cs="宋体"/>
                <w:sz w:val="21"/>
                <w:szCs w:val="21"/>
              </w:rPr>
            </w:pP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5C316950">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每季度对同批次的灭火器随机收取一定数量进行灭火、喷射等性能试验。</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C7DCDC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每季度</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8593068">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0FF80639">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未进行测试扣减维保费用100.00元。</w:t>
            </w:r>
          </w:p>
        </w:tc>
      </w:tr>
      <w:tr w14:paraId="122EFE94">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48E3E2F6">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维保计划</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2AFBB23">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制定建筑消防设施维护保养计划。列明消防设施的名称、维护保养的内容和周期。</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42BBCC7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每半年</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C9EEED4">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110B4B41">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每年度出具维保计划，缺少1项，扣减费用</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元。</w:t>
            </w:r>
          </w:p>
        </w:tc>
      </w:tr>
      <w:tr w14:paraId="0252C581">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10F4E475">
            <w:pPr>
              <w:widowControl/>
              <w:jc w:val="center"/>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消防设施检测维护保养</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27F5BEA">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按照维护保养计划每月进行维护保养检测。</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22433CE">
            <w:pPr>
              <w:widowControl/>
              <w:jc w:val="center"/>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919B6C4">
            <w:pPr>
              <w:jc w:val="center"/>
              <w:rPr>
                <w:rFonts w:hint="eastAsia" w:ascii="宋体" w:hAnsi="宋体" w:cs="宋体"/>
                <w:sz w:val="21"/>
                <w:szCs w:val="21"/>
                <w:highlight w:val="none"/>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65DA40C4">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每月测试缺少1项扣减</w:t>
            </w:r>
            <w:r>
              <w:rPr>
                <w:rFonts w:hint="eastAsia" w:ascii="宋体" w:hAnsi="宋体" w:cs="宋体"/>
                <w:kern w:val="0"/>
                <w:sz w:val="21"/>
                <w:szCs w:val="21"/>
                <w:highlight w:val="none"/>
                <w:lang w:val="en-US" w:eastAsia="zh-CN" w:bidi="ar"/>
              </w:rPr>
              <w:t>100</w:t>
            </w:r>
            <w:r>
              <w:rPr>
                <w:rFonts w:hint="eastAsia" w:ascii="宋体" w:hAnsi="宋体" w:cs="宋体"/>
                <w:kern w:val="0"/>
                <w:sz w:val="21"/>
                <w:szCs w:val="21"/>
                <w:highlight w:val="none"/>
                <w:lang w:bidi="ar"/>
              </w:rPr>
              <w:t>元。</w:t>
            </w:r>
            <w:r>
              <w:rPr>
                <w:rFonts w:hint="eastAsia" w:ascii="宋体" w:hAnsi="宋体" w:cs="宋体"/>
                <w:kern w:val="0"/>
                <w:sz w:val="21"/>
                <w:szCs w:val="21"/>
                <w:highlight w:val="none"/>
                <w:lang w:bidi="ar"/>
              </w:rPr>
              <w:br w:type="textWrapping"/>
            </w:r>
            <w:r>
              <w:rPr>
                <w:rFonts w:hint="eastAsia" w:ascii="宋体" w:hAnsi="宋体" w:cs="宋体"/>
                <w:kern w:val="0"/>
                <w:sz w:val="21"/>
                <w:szCs w:val="21"/>
                <w:highlight w:val="none"/>
                <w:lang w:bidi="ar"/>
              </w:rPr>
              <w:t>一个付款周期内（每半年），缺少3项-5项的，扣减</w:t>
            </w:r>
            <w:r>
              <w:rPr>
                <w:rFonts w:hint="eastAsia" w:ascii="宋体" w:hAnsi="宋体" w:cs="宋体"/>
                <w:kern w:val="0"/>
                <w:sz w:val="21"/>
                <w:szCs w:val="21"/>
                <w:highlight w:val="none"/>
                <w:lang w:val="en-US" w:eastAsia="zh-CN" w:bidi="ar"/>
              </w:rPr>
              <w:t>500</w:t>
            </w:r>
            <w:r>
              <w:rPr>
                <w:rFonts w:hint="eastAsia" w:ascii="宋体" w:hAnsi="宋体" w:cs="宋体"/>
                <w:kern w:val="0"/>
                <w:sz w:val="21"/>
                <w:szCs w:val="21"/>
                <w:highlight w:val="none"/>
                <w:lang w:bidi="ar"/>
              </w:rPr>
              <w:t>元。缺少5项以上的，该付款周期考核不合格，扣减该付款周期维保费用的50%。</w:t>
            </w:r>
            <w:r>
              <w:rPr>
                <w:rFonts w:hint="eastAsia" w:ascii="宋体" w:hAnsi="宋体" w:cs="宋体"/>
                <w:kern w:val="0"/>
                <w:sz w:val="21"/>
                <w:szCs w:val="21"/>
                <w:highlight w:val="none"/>
                <w:lang w:bidi="ar"/>
              </w:rPr>
              <w:br w:type="textWrapping"/>
            </w:r>
            <w:r>
              <w:rPr>
                <w:rFonts w:hint="eastAsia" w:ascii="宋体" w:hAnsi="宋体" w:cs="宋体"/>
                <w:kern w:val="0"/>
                <w:sz w:val="21"/>
                <w:szCs w:val="21"/>
                <w:highlight w:val="none"/>
                <w:lang w:bidi="ar"/>
              </w:rPr>
              <w:t>注：因</w:t>
            </w:r>
            <w:r>
              <w:rPr>
                <w:rFonts w:hint="eastAsia" w:ascii="宋体" w:hAnsi="宋体" w:cs="宋体"/>
                <w:kern w:val="0"/>
                <w:sz w:val="21"/>
                <w:szCs w:val="21"/>
                <w:highlight w:val="none"/>
                <w:lang w:eastAsia="zh-CN" w:bidi="ar"/>
              </w:rPr>
              <w:t>采购人</w:t>
            </w:r>
            <w:r>
              <w:rPr>
                <w:rFonts w:hint="eastAsia" w:ascii="宋体" w:hAnsi="宋体" w:cs="宋体"/>
                <w:kern w:val="0"/>
                <w:sz w:val="21"/>
                <w:szCs w:val="21"/>
                <w:highlight w:val="none"/>
                <w:lang w:bidi="ar"/>
              </w:rPr>
              <w:t>原因未进行测试的，不计入考核。</w:t>
            </w:r>
          </w:p>
        </w:tc>
      </w:tr>
      <w:tr w14:paraId="1899F65D">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48E59CD6">
            <w:pPr>
              <w:widowControl/>
              <w:jc w:val="center"/>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维保资料</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58E04BC0">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每月度、每季度、每年度进行建筑消防设施检测，出具维护保养报告。</w:t>
            </w:r>
          </w:p>
        </w:tc>
        <w:tc>
          <w:tcPr>
            <w:tcW w:w="682" w:type="dxa"/>
            <w:tcBorders>
              <w:top w:val="single" w:color="000000" w:sz="4" w:space="0"/>
              <w:left w:val="single" w:color="000000" w:sz="4" w:space="0"/>
              <w:bottom w:val="nil"/>
              <w:right w:val="single" w:color="000000" w:sz="4" w:space="0"/>
            </w:tcBorders>
            <w:noWrap w:val="0"/>
            <w:vAlign w:val="center"/>
          </w:tcPr>
          <w:p w14:paraId="5E664226">
            <w:pPr>
              <w:widowControl/>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6CE36CF">
            <w:pPr>
              <w:jc w:val="center"/>
              <w:rPr>
                <w:rFonts w:hint="eastAsia" w:ascii="宋体" w:hAnsi="宋体" w:cs="宋体"/>
                <w:sz w:val="21"/>
                <w:szCs w:val="21"/>
                <w:highlight w:val="none"/>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0C1D5B79">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月度检查内容缺一项，扣减</w:t>
            </w:r>
            <w:r>
              <w:rPr>
                <w:rFonts w:hint="eastAsia" w:ascii="宋体" w:hAnsi="宋体" w:cs="宋体"/>
                <w:kern w:val="0"/>
                <w:sz w:val="21"/>
                <w:szCs w:val="21"/>
                <w:highlight w:val="none"/>
                <w:lang w:eastAsia="zh-CN" w:bidi="ar"/>
              </w:rPr>
              <w:t>投标人</w:t>
            </w:r>
            <w:r>
              <w:rPr>
                <w:rFonts w:hint="eastAsia" w:ascii="宋体" w:hAnsi="宋体" w:cs="宋体"/>
                <w:kern w:val="0"/>
                <w:sz w:val="21"/>
                <w:szCs w:val="21"/>
                <w:highlight w:val="none"/>
                <w:lang w:bidi="ar"/>
              </w:rPr>
              <w:t>维保费</w:t>
            </w:r>
            <w:r>
              <w:rPr>
                <w:rFonts w:hint="eastAsia" w:ascii="宋体" w:hAnsi="宋体" w:cs="宋体"/>
                <w:kern w:val="0"/>
                <w:sz w:val="21"/>
                <w:szCs w:val="21"/>
                <w:highlight w:val="none"/>
                <w:lang w:val="en-US" w:eastAsia="zh-CN" w:bidi="ar"/>
              </w:rPr>
              <w:t>100</w:t>
            </w:r>
            <w:r>
              <w:rPr>
                <w:rFonts w:hint="eastAsia" w:ascii="宋体" w:hAnsi="宋体" w:cs="宋体"/>
                <w:kern w:val="0"/>
                <w:sz w:val="21"/>
                <w:szCs w:val="21"/>
                <w:highlight w:val="none"/>
                <w:lang w:bidi="ar"/>
              </w:rPr>
              <w:t>.00元。</w:t>
            </w:r>
            <w:r>
              <w:rPr>
                <w:rFonts w:hint="eastAsia" w:ascii="宋体" w:hAnsi="宋体" w:cs="宋体"/>
                <w:kern w:val="0"/>
                <w:sz w:val="21"/>
                <w:szCs w:val="21"/>
                <w:highlight w:val="none"/>
                <w:lang w:bidi="ar"/>
              </w:rPr>
              <w:br w:type="textWrapping"/>
            </w:r>
            <w:r>
              <w:rPr>
                <w:rFonts w:hint="eastAsia" w:ascii="宋体" w:hAnsi="宋体" w:cs="宋体"/>
                <w:kern w:val="0"/>
                <w:sz w:val="21"/>
                <w:szCs w:val="21"/>
                <w:highlight w:val="none"/>
                <w:lang w:bidi="ar"/>
              </w:rPr>
              <w:t>季度检查内容缺一项，扣减</w:t>
            </w:r>
            <w:r>
              <w:rPr>
                <w:rFonts w:hint="eastAsia" w:ascii="宋体" w:hAnsi="宋体" w:cs="宋体"/>
                <w:kern w:val="0"/>
                <w:sz w:val="21"/>
                <w:szCs w:val="21"/>
                <w:highlight w:val="none"/>
                <w:lang w:eastAsia="zh-CN" w:bidi="ar"/>
              </w:rPr>
              <w:t>投标人</w:t>
            </w:r>
            <w:r>
              <w:rPr>
                <w:rFonts w:hint="eastAsia" w:ascii="宋体" w:hAnsi="宋体" w:cs="宋体"/>
                <w:kern w:val="0"/>
                <w:sz w:val="21"/>
                <w:szCs w:val="21"/>
                <w:highlight w:val="none"/>
                <w:lang w:bidi="ar"/>
              </w:rPr>
              <w:t>维保费</w:t>
            </w:r>
            <w:r>
              <w:rPr>
                <w:rFonts w:hint="eastAsia" w:ascii="宋体" w:hAnsi="宋体" w:cs="宋体"/>
                <w:kern w:val="0"/>
                <w:sz w:val="21"/>
                <w:szCs w:val="21"/>
                <w:highlight w:val="none"/>
                <w:lang w:val="en-US" w:eastAsia="zh-CN" w:bidi="ar"/>
              </w:rPr>
              <w:t>300</w:t>
            </w:r>
            <w:r>
              <w:rPr>
                <w:rFonts w:hint="eastAsia" w:ascii="宋体" w:hAnsi="宋体" w:cs="宋体"/>
                <w:kern w:val="0"/>
                <w:sz w:val="21"/>
                <w:szCs w:val="21"/>
                <w:highlight w:val="none"/>
                <w:lang w:bidi="ar"/>
              </w:rPr>
              <w:t>.00元。</w:t>
            </w:r>
            <w:r>
              <w:rPr>
                <w:rFonts w:hint="eastAsia" w:ascii="宋体" w:hAnsi="宋体" w:cs="宋体"/>
                <w:kern w:val="0"/>
                <w:sz w:val="21"/>
                <w:szCs w:val="21"/>
                <w:highlight w:val="none"/>
                <w:lang w:bidi="ar"/>
              </w:rPr>
              <w:br w:type="textWrapping"/>
            </w:r>
            <w:r>
              <w:rPr>
                <w:rFonts w:hint="eastAsia" w:ascii="宋体" w:hAnsi="宋体" w:cs="宋体"/>
                <w:kern w:val="0"/>
                <w:sz w:val="21"/>
                <w:szCs w:val="21"/>
                <w:highlight w:val="none"/>
                <w:lang w:bidi="ar"/>
              </w:rPr>
              <w:t>年度检查内容缺一项，扣减</w:t>
            </w:r>
            <w:r>
              <w:rPr>
                <w:rFonts w:hint="eastAsia" w:ascii="宋体" w:hAnsi="宋体" w:cs="宋体"/>
                <w:kern w:val="0"/>
                <w:sz w:val="21"/>
                <w:szCs w:val="21"/>
                <w:highlight w:val="none"/>
                <w:lang w:eastAsia="zh-CN" w:bidi="ar"/>
              </w:rPr>
              <w:t>投标人</w:t>
            </w:r>
            <w:r>
              <w:rPr>
                <w:rFonts w:hint="eastAsia" w:ascii="宋体" w:hAnsi="宋体" w:cs="宋体"/>
                <w:kern w:val="0"/>
                <w:sz w:val="21"/>
                <w:szCs w:val="21"/>
                <w:highlight w:val="none"/>
                <w:lang w:bidi="ar"/>
              </w:rPr>
              <w:t>维保费</w:t>
            </w:r>
            <w:r>
              <w:rPr>
                <w:rFonts w:hint="eastAsia" w:ascii="宋体" w:hAnsi="宋体" w:cs="宋体"/>
                <w:kern w:val="0"/>
                <w:sz w:val="21"/>
                <w:szCs w:val="21"/>
                <w:highlight w:val="none"/>
                <w:lang w:val="en-US" w:eastAsia="zh-CN" w:bidi="ar"/>
              </w:rPr>
              <w:t>500</w:t>
            </w:r>
            <w:r>
              <w:rPr>
                <w:rFonts w:hint="eastAsia" w:ascii="宋体" w:hAnsi="宋体" w:cs="宋体"/>
                <w:kern w:val="0"/>
                <w:sz w:val="21"/>
                <w:szCs w:val="21"/>
                <w:highlight w:val="none"/>
                <w:lang w:bidi="ar"/>
              </w:rPr>
              <w:t>.00元。</w:t>
            </w:r>
            <w:r>
              <w:rPr>
                <w:rFonts w:hint="eastAsia" w:ascii="宋体" w:hAnsi="宋体" w:cs="宋体"/>
                <w:kern w:val="0"/>
                <w:sz w:val="21"/>
                <w:szCs w:val="21"/>
                <w:highlight w:val="none"/>
                <w:lang w:bidi="ar"/>
              </w:rPr>
              <w:br w:type="textWrapping"/>
            </w:r>
            <w:r>
              <w:rPr>
                <w:rFonts w:hint="eastAsia" w:ascii="宋体" w:hAnsi="宋体" w:cs="宋体"/>
                <w:kern w:val="0"/>
                <w:sz w:val="21"/>
                <w:szCs w:val="21"/>
                <w:highlight w:val="none"/>
                <w:lang w:bidi="ar"/>
              </w:rPr>
              <w:t>联动测试内容缺1项，扣减</w:t>
            </w:r>
            <w:r>
              <w:rPr>
                <w:rFonts w:hint="eastAsia" w:ascii="宋体" w:hAnsi="宋体" w:cs="宋体"/>
                <w:kern w:val="0"/>
                <w:sz w:val="21"/>
                <w:szCs w:val="21"/>
                <w:highlight w:val="none"/>
                <w:lang w:val="en-US" w:eastAsia="zh-CN" w:bidi="ar"/>
              </w:rPr>
              <w:t>300</w:t>
            </w:r>
            <w:r>
              <w:rPr>
                <w:rFonts w:hint="eastAsia" w:ascii="宋体" w:hAnsi="宋体" w:cs="宋体"/>
                <w:kern w:val="0"/>
                <w:sz w:val="21"/>
                <w:szCs w:val="21"/>
                <w:highlight w:val="none"/>
                <w:lang w:bidi="ar"/>
              </w:rPr>
              <w:t>元。</w:t>
            </w:r>
          </w:p>
        </w:tc>
      </w:tr>
      <w:tr w14:paraId="349920C7">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4C21ECA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故障发现</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A59F227">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如</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在巡查或测试过程中，发现重大设施设备故障，经</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后勤保障科评定，</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应当发现而未发现的、或者</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发现后应当报告而未报告的情况。</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B7DB0FC">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28E9F0B3">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223C56F9">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每项故障扣减</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维保费用</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w:t>
            </w:r>
          </w:p>
        </w:tc>
      </w:tr>
      <w:tr w14:paraId="681E178F">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01EF5026">
            <w:pPr>
              <w:widowControl/>
              <w:jc w:val="center"/>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及时维护</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24C450B7">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在日常工作中，将指派专业的维护人员按</w:t>
            </w:r>
            <w:r>
              <w:rPr>
                <w:rFonts w:hint="eastAsia" w:ascii="宋体" w:hAnsi="宋体" w:cs="宋体"/>
                <w:kern w:val="0"/>
                <w:sz w:val="21"/>
                <w:szCs w:val="21"/>
                <w:highlight w:val="none"/>
                <w:lang w:eastAsia="zh-CN" w:bidi="ar"/>
              </w:rPr>
              <w:t>采购人</w:t>
            </w:r>
            <w:r>
              <w:rPr>
                <w:rFonts w:hint="eastAsia" w:ascii="宋体" w:hAnsi="宋体" w:cs="宋体"/>
                <w:kern w:val="0"/>
                <w:sz w:val="21"/>
                <w:szCs w:val="21"/>
                <w:highlight w:val="none"/>
                <w:lang w:bidi="ar"/>
              </w:rPr>
              <w:t>工作时间，常驻现场负责该项目的维护工作，一旦系统出现故障，维护人员能及时进行检查处理，争取非设备原因故障不过夜。系统在运行中如出现较大故障，双方协商共同制订切实可行的修理方案和安全防范措施后方可进行，维保单位尽力保证在双方确定的时间内完成。</w:t>
            </w:r>
          </w:p>
        </w:tc>
        <w:tc>
          <w:tcPr>
            <w:tcW w:w="682" w:type="dxa"/>
            <w:tcBorders>
              <w:top w:val="single" w:color="000000" w:sz="4" w:space="0"/>
              <w:left w:val="single" w:color="000000" w:sz="4" w:space="0"/>
              <w:bottom w:val="nil"/>
              <w:right w:val="single" w:color="000000" w:sz="4" w:space="0"/>
            </w:tcBorders>
            <w:noWrap w:val="0"/>
            <w:vAlign w:val="center"/>
          </w:tcPr>
          <w:p w14:paraId="0F4AF892">
            <w:pPr>
              <w:widowControl/>
              <w:jc w:val="center"/>
              <w:textAlignment w:val="center"/>
              <w:rPr>
                <w:rFonts w:hint="eastAsia" w:ascii="宋体" w:hAnsi="宋体" w:eastAsia="宋体" w:cs="宋体"/>
                <w:sz w:val="21"/>
                <w:szCs w:val="21"/>
                <w:highlight w:val="none"/>
                <w:lang w:eastAsia="zh-CN"/>
              </w:rPr>
            </w:pPr>
            <w:r>
              <w:rPr>
                <w:rFonts w:hint="eastAsia" w:ascii="宋体" w:hAnsi="宋体" w:cs="宋体"/>
                <w:kern w:val="0"/>
                <w:sz w:val="21"/>
                <w:szCs w:val="21"/>
                <w:highlight w:val="none"/>
                <w:lang w:val="en-US" w:eastAsia="zh-CN"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9E2FD3C">
            <w:pPr>
              <w:jc w:val="center"/>
              <w:rPr>
                <w:rFonts w:hint="eastAsia" w:ascii="宋体" w:hAnsi="宋体" w:cs="宋体"/>
                <w:sz w:val="21"/>
                <w:szCs w:val="21"/>
                <w:highlight w:val="none"/>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54B6CCB0">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如因维保人员技术能力或</w:t>
            </w:r>
            <w:r>
              <w:rPr>
                <w:rFonts w:hint="eastAsia" w:ascii="宋体" w:hAnsi="宋体" w:cs="宋体"/>
                <w:kern w:val="0"/>
                <w:sz w:val="21"/>
                <w:szCs w:val="21"/>
                <w:highlight w:val="none"/>
                <w:lang w:eastAsia="zh-CN" w:bidi="ar"/>
              </w:rPr>
              <w:t>投标人</w:t>
            </w:r>
            <w:r>
              <w:rPr>
                <w:rFonts w:hint="eastAsia" w:ascii="宋体" w:hAnsi="宋体" w:cs="宋体"/>
                <w:kern w:val="0"/>
                <w:sz w:val="21"/>
                <w:szCs w:val="21"/>
                <w:highlight w:val="none"/>
                <w:lang w:bidi="ar"/>
              </w:rPr>
              <w:t>的其他原因，消防设施故障无法完成，在一月内仍未排除故障的，扣减</w:t>
            </w:r>
            <w:r>
              <w:rPr>
                <w:rFonts w:hint="eastAsia" w:ascii="宋体" w:hAnsi="宋体" w:cs="宋体"/>
                <w:kern w:val="0"/>
                <w:sz w:val="21"/>
                <w:szCs w:val="21"/>
                <w:highlight w:val="none"/>
                <w:lang w:eastAsia="zh-CN" w:bidi="ar"/>
              </w:rPr>
              <w:t>投标人</w:t>
            </w:r>
            <w:r>
              <w:rPr>
                <w:rFonts w:hint="eastAsia" w:ascii="宋体" w:hAnsi="宋体" w:cs="宋体"/>
                <w:kern w:val="0"/>
                <w:sz w:val="21"/>
                <w:szCs w:val="21"/>
                <w:highlight w:val="none"/>
                <w:lang w:bidi="ar"/>
              </w:rPr>
              <w:t>维保费</w:t>
            </w:r>
            <w:r>
              <w:rPr>
                <w:rFonts w:hint="eastAsia" w:ascii="宋体" w:hAnsi="宋体" w:cs="宋体"/>
                <w:kern w:val="0"/>
                <w:sz w:val="21"/>
                <w:szCs w:val="21"/>
                <w:highlight w:val="none"/>
                <w:lang w:val="en-US" w:eastAsia="zh-CN" w:bidi="ar"/>
              </w:rPr>
              <w:t>500</w:t>
            </w:r>
            <w:r>
              <w:rPr>
                <w:rFonts w:hint="eastAsia" w:ascii="宋体" w:hAnsi="宋体" w:cs="宋体"/>
                <w:kern w:val="0"/>
                <w:sz w:val="21"/>
                <w:szCs w:val="21"/>
                <w:highlight w:val="none"/>
                <w:lang w:bidi="ar"/>
              </w:rPr>
              <w:t>.00元/项。如因</w:t>
            </w:r>
            <w:r>
              <w:rPr>
                <w:rFonts w:hint="eastAsia" w:ascii="宋体" w:hAnsi="宋体" w:cs="宋体"/>
                <w:kern w:val="0"/>
                <w:sz w:val="21"/>
                <w:szCs w:val="21"/>
                <w:highlight w:val="none"/>
                <w:lang w:val="en-US" w:eastAsia="zh-CN" w:bidi="ar"/>
              </w:rPr>
              <w:t>采购人</w:t>
            </w:r>
            <w:r>
              <w:rPr>
                <w:rFonts w:hint="eastAsia" w:ascii="宋体" w:hAnsi="宋体" w:cs="宋体"/>
                <w:kern w:val="0"/>
                <w:sz w:val="21"/>
                <w:szCs w:val="21"/>
                <w:highlight w:val="none"/>
                <w:lang w:bidi="ar"/>
              </w:rPr>
              <w:t>不能按时提供配件材料，致使维保工作不能按时完成，则不扣减维保公司维保费用</w:t>
            </w:r>
          </w:p>
        </w:tc>
      </w:tr>
      <w:tr w14:paraId="75AD4DD9">
        <w:tblPrEx>
          <w:tblCellMar>
            <w:top w:w="0" w:type="dxa"/>
            <w:left w:w="108" w:type="dxa"/>
            <w:bottom w:w="0" w:type="dxa"/>
            <w:right w:w="108" w:type="dxa"/>
          </w:tblCellMar>
        </w:tblPrEx>
        <w:trPr>
          <w:trHeight w:val="677" w:hRule="atLeast"/>
        </w:trPr>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6130E58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维修保养记录</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FD639DD">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对院内故障的消防设施进行维修，并做好维修记录。</w:t>
            </w:r>
          </w:p>
        </w:tc>
        <w:tc>
          <w:tcPr>
            <w:tcW w:w="682" w:type="dxa"/>
            <w:tcBorders>
              <w:top w:val="single" w:color="000000" w:sz="4" w:space="0"/>
              <w:left w:val="single" w:color="000000" w:sz="4" w:space="0"/>
              <w:bottom w:val="nil"/>
              <w:right w:val="single" w:color="000000" w:sz="4" w:space="0"/>
            </w:tcBorders>
            <w:noWrap w:val="0"/>
            <w:vAlign w:val="center"/>
          </w:tcPr>
          <w:p w14:paraId="381A3CE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342C212B">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76AEB1F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重大内容缺失1项，扣减</w:t>
            </w:r>
            <w:r>
              <w:rPr>
                <w:rFonts w:hint="eastAsia" w:ascii="宋体" w:hAnsi="宋体" w:cs="宋体"/>
                <w:kern w:val="0"/>
                <w:sz w:val="21"/>
                <w:szCs w:val="21"/>
                <w:lang w:val="en-US" w:eastAsia="zh-CN" w:bidi="ar"/>
              </w:rPr>
              <w:t>300</w:t>
            </w:r>
            <w:r>
              <w:rPr>
                <w:rFonts w:hint="eastAsia" w:ascii="宋体" w:hAnsi="宋体" w:cs="宋体"/>
                <w:kern w:val="0"/>
                <w:sz w:val="21"/>
                <w:szCs w:val="21"/>
                <w:lang w:bidi="ar"/>
              </w:rPr>
              <w:t>元/次。</w:t>
            </w:r>
          </w:p>
        </w:tc>
      </w:tr>
      <w:tr w14:paraId="377F0646">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65914D4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管道、阀门除锈打油</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C50B4C9">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室外消防管网、阀门，水泵房管网、阀门，湿式报警阀，屋顶水箱管网、阀门、环网的除锈、打油及测试（不包括室内消火栓箱），每年度制定工作计划。</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60A148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每半年</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79DC3963">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D82BF43">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全年完成所有范围内的除锈打油。</w:t>
            </w:r>
          </w:p>
        </w:tc>
      </w:tr>
      <w:tr w14:paraId="3A753E71">
        <w:tblPrEx>
          <w:tblCellMar>
            <w:top w:w="0" w:type="dxa"/>
            <w:left w:w="108" w:type="dxa"/>
            <w:bottom w:w="0" w:type="dxa"/>
            <w:right w:w="108" w:type="dxa"/>
          </w:tblCellMar>
        </w:tblPrEx>
        <w:trPr>
          <w:trHeight w:val="1162" w:hRule="atLeast"/>
        </w:trPr>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4AAC381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修缮、改造</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2E329041">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如维保范围内需要新增、修缮、改造消防设施的，</w:t>
            </w:r>
            <w:r>
              <w:rPr>
                <w:rFonts w:hint="eastAsia" w:ascii="宋体" w:hAnsi="宋体" w:cs="宋体"/>
                <w:kern w:val="0"/>
                <w:sz w:val="21"/>
                <w:szCs w:val="21"/>
                <w:lang w:val="en-US" w:eastAsia="zh-CN" w:bidi="ar"/>
              </w:rPr>
              <w:t>投标</w:t>
            </w:r>
            <w:r>
              <w:rPr>
                <w:rFonts w:hint="eastAsia" w:ascii="宋体" w:hAnsi="宋体" w:cs="宋体"/>
                <w:kern w:val="0"/>
                <w:sz w:val="21"/>
                <w:szCs w:val="21"/>
                <w:lang w:bidi="ar"/>
              </w:rPr>
              <w:t>人需提供专业性指导意见，并附工程清单。</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971A3D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每半年</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DD0B570">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650FEB2A">
            <w:pPr>
              <w:widowControl/>
              <w:jc w:val="left"/>
              <w:textAlignment w:val="center"/>
              <w:rPr>
                <w:rFonts w:hint="eastAsia" w:ascii="宋体" w:hAnsi="宋体" w:cs="宋体"/>
                <w:sz w:val="21"/>
                <w:szCs w:val="21"/>
              </w:rPr>
            </w:pPr>
            <w:r>
              <w:rPr>
                <w:rFonts w:hint="eastAsia" w:ascii="宋体" w:hAnsi="宋体" w:cs="宋体"/>
                <w:kern w:val="0"/>
                <w:sz w:val="21"/>
                <w:szCs w:val="21"/>
                <w:lang w:bidi="ar"/>
              </w:rPr>
              <w:t>经</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要求，</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不提供的，扣减维保费用</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w:t>
            </w:r>
          </w:p>
        </w:tc>
      </w:tr>
      <w:tr w14:paraId="5881416B">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68079478">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消防培训</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6928401B">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每年协助</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进行消防培训。如针对值班人员进行的主机操作培训；针对巡查人员进行的设施设备功能、操作的培训；针对</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消防安全管理部门人员的设施设备分布情况培训，设施设备操作培训，消防应急事件处置等培训。</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302158B">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每半年</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089CF27">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2EB0146F">
            <w:pPr>
              <w:widowControl/>
              <w:jc w:val="left"/>
              <w:textAlignment w:val="center"/>
              <w:rPr>
                <w:rFonts w:hint="eastAsia" w:ascii="宋体" w:hAnsi="宋体" w:cs="宋体"/>
                <w:sz w:val="21"/>
                <w:szCs w:val="21"/>
              </w:rPr>
            </w:pPr>
            <w:r>
              <w:rPr>
                <w:rFonts w:hint="eastAsia" w:ascii="宋体" w:hAnsi="宋体" w:cs="宋体"/>
                <w:kern w:val="0"/>
                <w:sz w:val="21"/>
                <w:szCs w:val="21"/>
                <w:lang w:bidi="ar"/>
              </w:rPr>
              <w:t>经</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要求，</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不提供培训服务的，扣减维保费用</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w:t>
            </w:r>
          </w:p>
        </w:tc>
      </w:tr>
      <w:tr w14:paraId="763C53CB">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523B95F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响应时间</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275DBE22">
            <w:pPr>
              <w:widowControl/>
              <w:jc w:val="left"/>
              <w:textAlignment w:val="center"/>
              <w:rPr>
                <w:rFonts w:hint="eastAsia" w:ascii="宋体" w:hAnsi="宋体" w:cs="宋体"/>
                <w:sz w:val="21"/>
                <w:szCs w:val="21"/>
              </w:rPr>
            </w:pPr>
            <w:r>
              <w:rPr>
                <w:rFonts w:hint="eastAsia" w:ascii="宋体" w:hAnsi="宋体" w:cs="宋体"/>
                <w:kern w:val="0"/>
                <w:sz w:val="21"/>
                <w:szCs w:val="21"/>
                <w:lang w:eastAsia="zh-CN" w:bidi="ar"/>
              </w:rPr>
              <w:t>投标人</w:t>
            </w:r>
            <w:r>
              <w:rPr>
                <w:rFonts w:hint="eastAsia" w:ascii="宋体" w:hAnsi="宋体" w:cs="宋体"/>
                <w:kern w:val="0"/>
                <w:sz w:val="21"/>
                <w:szCs w:val="21"/>
                <w:lang w:bidi="ar"/>
              </w:rPr>
              <w:t>派到</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的驻场维保人员应按</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规定的作息时间上下班，</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在维保期内不得以任何理由或事宜将驻场维保人员撤回。</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派驻</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现场的维保人员驻场时间为5*8小时，电话响应时间为7*24小时；非驻场时间如遇消防设备重大故障或特殊情况，需在2小时内赶到现场。</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5BD5BF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D5C0530">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AD852B9">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如未及时响应或不响应，扣减维保费用</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.00元/次。</w:t>
            </w:r>
          </w:p>
        </w:tc>
      </w:tr>
      <w:tr w14:paraId="5D20361C">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720DF40A">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维保考勤</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AC81219">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每个工作日</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必须保证一人在</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现场对消防设备进行检查维保。</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D67525B">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2B8714C8">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D9498B5">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如果</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的工作人员迟到或早退，发现一次，扣</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的维保费</w:t>
            </w:r>
            <w:r>
              <w:rPr>
                <w:rFonts w:ascii="宋体" w:hAnsi="宋体" w:cs="宋体"/>
                <w:kern w:val="0"/>
                <w:sz w:val="21"/>
                <w:szCs w:val="21"/>
                <w:lang w:bidi="ar"/>
              </w:rPr>
              <w:t>1</w:t>
            </w:r>
            <w:r>
              <w:rPr>
                <w:rFonts w:hint="eastAsia" w:ascii="宋体" w:hAnsi="宋体" w:cs="宋体"/>
                <w:kern w:val="0"/>
                <w:sz w:val="21"/>
                <w:szCs w:val="21"/>
                <w:lang w:bidi="ar"/>
              </w:rPr>
              <w:t>00.00元。如</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的工作人员无故缺勤的，发现一次，扣</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的维保费</w:t>
            </w:r>
            <w:r>
              <w:rPr>
                <w:rFonts w:hint="eastAsia" w:ascii="宋体" w:hAnsi="宋体" w:cs="宋体"/>
                <w:kern w:val="0"/>
                <w:sz w:val="21"/>
                <w:szCs w:val="21"/>
                <w:lang w:val="en-US" w:eastAsia="zh-CN" w:bidi="ar"/>
              </w:rPr>
              <w:t>300</w:t>
            </w:r>
            <w:r>
              <w:rPr>
                <w:rFonts w:hint="eastAsia" w:ascii="宋体" w:hAnsi="宋体" w:cs="宋体"/>
                <w:kern w:val="0"/>
                <w:sz w:val="21"/>
                <w:szCs w:val="21"/>
                <w:lang w:bidi="ar"/>
              </w:rPr>
              <w:t>.00元。</w:t>
            </w:r>
            <w:r>
              <w:rPr>
                <w:rFonts w:hint="eastAsia" w:ascii="宋体" w:hAnsi="宋体" w:cs="宋体"/>
                <w:kern w:val="0"/>
                <w:sz w:val="21"/>
                <w:szCs w:val="21"/>
                <w:lang w:bidi="ar"/>
              </w:rPr>
              <w:br w:type="textWrapping"/>
            </w:r>
            <w:r>
              <w:rPr>
                <w:rFonts w:hint="eastAsia" w:ascii="宋体" w:hAnsi="宋体" w:cs="宋体"/>
                <w:kern w:val="0"/>
                <w:sz w:val="21"/>
                <w:szCs w:val="21"/>
                <w:lang w:bidi="ar"/>
              </w:rPr>
              <w:t>无故缺勤三次，将其清退出场，</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需另委派技术人员。</w:t>
            </w:r>
          </w:p>
        </w:tc>
      </w:tr>
      <w:tr w14:paraId="0C64CABC">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4C30F176">
            <w:pPr>
              <w:widowControl/>
              <w:jc w:val="center"/>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项目负责人到场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7756AD37">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项目负责人每月到场1次。</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221890E">
            <w:pPr>
              <w:widowControl/>
              <w:jc w:val="center"/>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7012950">
            <w:pPr>
              <w:jc w:val="center"/>
              <w:rPr>
                <w:rFonts w:hint="eastAsia" w:ascii="宋体" w:hAnsi="宋体" w:cs="宋体"/>
                <w:sz w:val="21"/>
                <w:szCs w:val="21"/>
                <w:highlight w:val="none"/>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33F43ED">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未到场扣除维保费用</w:t>
            </w:r>
            <w:r>
              <w:rPr>
                <w:rFonts w:hint="eastAsia" w:ascii="宋体" w:hAnsi="宋体" w:cs="宋体"/>
                <w:kern w:val="0"/>
                <w:sz w:val="21"/>
                <w:szCs w:val="21"/>
                <w:highlight w:val="none"/>
                <w:lang w:val="en-US" w:eastAsia="zh-CN" w:bidi="ar"/>
              </w:rPr>
              <w:t>100</w:t>
            </w:r>
            <w:r>
              <w:rPr>
                <w:rFonts w:hint="eastAsia" w:ascii="宋体" w:hAnsi="宋体" w:cs="宋体"/>
                <w:kern w:val="0"/>
                <w:sz w:val="21"/>
                <w:szCs w:val="21"/>
                <w:highlight w:val="none"/>
                <w:lang w:bidi="ar"/>
              </w:rPr>
              <w:t>.00元/次。</w:t>
            </w:r>
          </w:p>
        </w:tc>
      </w:tr>
      <w:tr w14:paraId="05F097E2">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49741A3A">
            <w:pPr>
              <w:widowControl/>
              <w:jc w:val="center"/>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其他</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A866184">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如维保人员代消防控制室值班人员值班。</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537309E">
            <w:pPr>
              <w:widowControl/>
              <w:jc w:val="center"/>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401BF53">
            <w:pPr>
              <w:jc w:val="center"/>
              <w:rPr>
                <w:rFonts w:hint="eastAsia" w:ascii="宋体" w:hAnsi="宋体" w:cs="宋体"/>
                <w:sz w:val="21"/>
                <w:szCs w:val="21"/>
                <w:highlight w:val="none"/>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7E4851B3">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发现一次，扣减维保费用</w:t>
            </w:r>
            <w:r>
              <w:rPr>
                <w:rFonts w:hint="eastAsia" w:ascii="宋体" w:hAnsi="宋体" w:cs="宋体"/>
                <w:kern w:val="0"/>
                <w:sz w:val="21"/>
                <w:szCs w:val="21"/>
                <w:highlight w:val="none"/>
                <w:lang w:val="en-US" w:eastAsia="zh-CN" w:bidi="ar"/>
              </w:rPr>
              <w:t>100</w:t>
            </w:r>
            <w:r>
              <w:rPr>
                <w:rFonts w:hint="eastAsia" w:ascii="宋体" w:hAnsi="宋体" w:cs="宋体"/>
                <w:kern w:val="0"/>
                <w:sz w:val="21"/>
                <w:szCs w:val="21"/>
                <w:highlight w:val="none"/>
                <w:lang w:bidi="ar"/>
              </w:rPr>
              <w:t>.00元。</w:t>
            </w:r>
          </w:p>
        </w:tc>
      </w:tr>
      <w:tr w14:paraId="46173ADD">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238BC9B2">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计分</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7085684">
            <w:pPr>
              <w:widowControl/>
              <w:jc w:val="left"/>
              <w:textAlignment w:val="center"/>
              <w:rPr>
                <w:rFonts w:hint="eastAsia" w:ascii="宋体" w:hAnsi="宋体" w:cs="宋体"/>
                <w:sz w:val="21"/>
                <w:szCs w:val="21"/>
              </w:rPr>
            </w:pPr>
            <w:r>
              <w:rPr>
                <w:rFonts w:hint="eastAsia" w:ascii="宋体" w:hAnsi="宋体" w:cs="宋体"/>
                <w:kern w:val="0"/>
                <w:sz w:val="21"/>
                <w:szCs w:val="21"/>
                <w:lang w:bidi="ar"/>
              </w:rPr>
              <w:t>维保考核除扣款外，同时进行计分。</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DA5FF0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每年</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87D7F51">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24E4B8E7">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元计1分，每年度累计计分100分的，</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有权单方面解除合同。</w:t>
            </w:r>
          </w:p>
        </w:tc>
      </w:tr>
    </w:tbl>
    <w:p w14:paraId="4E8C0432">
      <w:pPr>
        <w:rPr>
          <w:rFonts w:hint="eastAsia"/>
        </w:rPr>
      </w:pPr>
    </w:p>
    <w:p w14:paraId="4F7885F7">
      <w:pPr>
        <w:pStyle w:val="3"/>
        <w:outlineLvl w:val="0"/>
        <w:rPr>
          <w:rFonts w:hint="eastAsia" w:ascii="方正黑体_GBK" w:eastAsia="方正黑体_GBK" w:cs="宋体"/>
          <w:sz w:val="32"/>
        </w:rPr>
      </w:pPr>
      <w:bookmarkStart w:id="53" w:name="_Toc1312"/>
      <w:bookmarkStart w:id="54" w:name="_Toc3958"/>
      <w:bookmarkStart w:id="55" w:name="_Toc1074"/>
      <w:bookmarkStart w:id="56" w:name="_Toc17687"/>
      <w:bookmarkStart w:id="57" w:name="_Toc2164"/>
      <w:bookmarkStart w:id="58" w:name="_Toc32535"/>
      <w:bookmarkStart w:id="59" w:name="_Toc23644"/>
      <w:bookmarkStart w:id="60" w:name="_Toc1146"/>
      <w:bookmarkStart w:id="61" w:name="_Toc9152"/>
      <w:bookmarkStart w:id="62" w:name="_Toc21979"/>
      <w:bookmarkStart w:id="63" w:name="_Toc13659"/>
      <w:bookmarkStart w:id="64" w:name="_Toc7038"/>
      <w:bookmarkStart w:id="65" w:name="_Toc18229"/>
      <w:bookmarkStart w:id="66" w:name="_Toc30292"/>
      <w:r>
        <w:rPr>
          <w:rFonts w:hint="eastAsia" w:ascii="方正黑体_GBK" w:eastAsia="方正黑体_GBK" w:cs="宋体"/>
          <w:sz w:val="32"/>
        </w:rPr>
        <w:t>五、安全要求</w:t>
      </w:r>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74A20BF3">
      <w:pPr>
        <w:spacing w:line="400" w:lineRule="exact"/>
        <w:ind w:firstLine="480" w:firstLineChars="200"/>
        <w:rPr>
          <w:rFonts w:hint="eastAsia" w:ascii="仿宋" w:hAnsi="仿宋" w:eastAsia="仿宋" w:cs="仿宋"/>
          <w:sz w:val="24"/>
        </w:rPr>
      </w:pPr>
      <w:r>
        <w:rPr>
          <w:rFonts w:hint="eastAsia" w:ascii="仿宋" w:hAnsi="仿宋" w:eastAsia="仿宋" w:cs="仿宋"/>
          <w:sz w:val="24"/>
          <w:lang w:eastAsia="zh-CN"/>
        </w:rPr>
        <w:t>投标人</w:t>
      </w:r>
      <w:r>
        <w:rPr>
          <w:rFonts w:hint="eastAsia" w:ascii="仿宋" w:hAnsi="仿宋" w:eastAsia="仿宋" w:cs="仿宋"/>
          <w:sz w:val="24"/>
        </w:rPr>
        <w:t>应遵守安全生产的有关管理规定，严格按照安全标准组织实施，采取必要的安全防护措施，消除隐患。在实施过程中由于</w:t>
      </w:r>
      <w:r>
        <w:rPr>
          <w:rFonts w:hint="eastAsia" w:ascii="仿宋" w:hAnsi="仿宋" w:eastAsia="仿宋" w:cs="仿宋"/>
          <w:sz w:val="24"/>
          <w:lang w:eastAsia="zh-CN"/>
        </w:rPr>
        <w:t>投标人</w:t>
      </w:r>
      <w:r>
        <w:rPr>
          <w:rFonts w:hint="eastAsia" w:ascii="仿宋" w:hAnsi="仿宋" w:eastAsia="仿宋" w:cs="仿宋"/>
          <w:sz w:val="24"/>
        </w:rPr>
        <w:t>管理或安全措施不力造成周边环境破坏或事故责任和因此发生的费用，由</w:t>
      </w:r>
      <w:r>
        <w:rPr>
          <w:rFonts w:hint="eastAsia" w:ascii="仿宋" w:hAnsi="仿宋" w:eastAsia="仿宋" w:cs="仿宋"/>
          <w:sz w:val="24"/>
          <w:lang w:eastAsia="zh-CN"/>
        </w:rPr>
        <w:t>投标人</w:t>
      </w:r>
      <w:r>
        <w:rPr>
          <w:rFonts w:hint="eastAsia" w:ascii="仿宋" w:hAnsi="仿宋" w:eastAsia="仿宋" w:cs="仿宋"/>
          <w:sz w:val="24"/>
        </w:rPr>
        <w:t>自行承担。</w:t>
      </w:r>
      <w:r>
        <w:rPr>
          <w:rFonts w:hint="eastAsia" w:ascii="仿宋" w:hAnsi="仿宋" w:eastAsia="仿宋" w:cs="仿宋"/>
          <w:sz w:val="24"/>
          <w:lang w:eastAsia="zh-CN"/>
        </w:rPr>
        <w:t>投标人</w:t>
      </w:r>
      <w:r>
        <w:rPr>
          <w:rFonts w:hint="eastAsia" w:ascii="仿宋" w:hAnsi="仿宋" w:eastAsia="仿宋" w:cs="仿宋"/>
          <w:sz w:val="24"/>
        </w:rPr>
        <w:t>负责进入现场实施人员及财物安全，发生任何伤亡事故与</w:t>
      </w:r>
      <w:r>
        <w:rPr>
          <w:rFonts w:hint="eastAsia" w:ascii="仿宋" w:hAnsi="仿宋" w:eastAsia="仿宋" w:cs="仿宋"/>
          <w:sz w:val="24"/>
          <w:lang w:eastAsia="zh-CN"/>
        </w:rPr>
        <w:t>采购人</w:t>
      </w:r>
      <w:r>
        <w:rPr>
          <w:rFonts w:hint="eastAsia" w:ascii="仿宋" w:hAnsi="仿宋" w:eastAsia="仿宋" w:cs="仿宋"/>
          <w:sz w:val="24"/>
        </w:rPr>
        <w:t>无关，</w:t>
      </w:r>
      <w:r>
        <w:rPr>
          <w:rFonts w:hint="eastAsia" w:ascii="仿宋" w:hAnsi="仿宋" w:eastAsia="仿宋" w:cs="仿宋"/>
          <w:sz w:val="24"/>
          <w:lang w:eastAsia="zh-CN"/>
        </w:rPr>
        <w:t>投标人</w:t>
      </w:r>
      <w:r>
        <w:rPr>
          <w:rFonts w:hint="eastAsia" w:ascii="仿宋" w:hAnsi="仿宋" w:eastAsia="仿宋" w:cs="仿宋"/>
          <w:sz w:val="24"/>
        </w:rPr>
        <w:t>自行解决并承担相应的法律责任和财产损失。如因实施导致第三人人身、财产损失由成交人承担赔偿责任。</w:t>
      </w:r>
    </w:p>
    <w:p w14:paraId="2C1E4027">
      <w:pPr>
        <w:pStyle w:val="3"/>
        <w:outlineLvl w:val="0"/>
        <w:rPr>
          <w:rFonts w:hint="eastAsia" w:ascii="方正黑体_GBK" w:eastAsia="方正黑体_GBK" w:cs="宋体"/>
          <w:sz w:val="32"/>
        </w:rPr>
      </w:pPr>
      <w:bookmarkStart w:id="67" w:name="_Toc31812"/>
      <w:bookmarkStart w:id="68" w:name="_Toc11509"/>
      <w:bookmarkStart w:id="69" w:name="_Toc29883"/>
      <w:bookmarkStart w:id="70" w:name="_Toc26455"/>
      <w:bookmarkStart w:id="71" w:name="_Toc27556"/>
      <w:bookmarkStart w:id="72" w:name="_Toc11571"/>
      <w:bookmarkStart w:id="73" w:name="_Toc31084"/>
      <w:bookmarkStart w:id="74" w:name="_Toc17894"/>
      <w:r>
        <w:rPr>
          <w:rFonts w:hint="eastAsia" w:ascii="方正黑体_GBK" w:eastAsia="方正黑体_GBK" w:cs="宋体"/>
          <w:sz w:val="32"/>
        </w:rPr>
        <w:t>六、现场踏勘</w:t>
      </w:r>
      <w:bookmarkEnd w:id="67"/>
      <w:bookmarkEnd w:id="68"/>
      <w:bookmarkEnd w:id="69"/>
      <w:bookmarkEnd w:id="70"/>
      <w:bookmarkEnd w:id="71"/>
      <w:bookmarkEnd w:id="72"/>
      <w:bookmarkEnd w:id="73"/>
      <w:bookmarkEnd w:id="74"/>
    </w:p>
    <w:p w14:paraId="3967D293">
      <w:pPr>
        <w:spacing w:line="400" w:lineRule="exact"/>
        <w:ind w:firstLine="480" w:firstLineChars="200"/>
        <w:rPr>
          <w:rFonts w:hint="eastAsia" w:ascii="仿宋" w:hAnsi="仿宋" w:eastAsia="仿宋" w:cs="仿宋"/>
          <w:sz w:val="24"/>
          <w:highlight w:val="none"/>
        </w:rPr>
      </w:pPr>
      <w:r>
        <w:rPr>
          <w:rFonts w:hint="eastAsia" w:ascii="仿宋" w:hAnsi="仿宋" w:eastAsia="仿宋" w:cs="仿宋"/>
          <w:sz w:val="24"/>
        </w:rPr>
        <w:t>1.请各位</w:t>
      </w:r>
      <w:r>
        <w:rPr>
          <w:rFonts w:hint="eastAsia" w:ascii="仿宋" w:hAnsi="仿宋" w:eastAsia="仿宋" w:cs="仿宋"/>
          <w:sz w:val="24"/>
          <w:lang w:eastAsia="zh-CN"/>
        </w:rPr>
        <w:t>投标人</w:t>
      </w:r>
      <w:r>
        <w:rPr>
          <w:rFonts w:hint="eastAsia" w:ascii="仿宋" w:hAnsi="仿宋" w:eastAsia="仿宋" w:cs="仿宋"/>
          <w:sz w:val="24"/>
        </w:rPr>
        <w:t>自行踏勘以充分了解服务面积、地点、环境及任何其他足以影响承包价格的情况，任何因忽视或误解服务点位情况而导致的索赔申请将不获批准。如未踏勘现</w:t>
      </w:r>
      <w:r>
        <w:rPr>
          <w:rFonts w:hint="eastAsia" w:ascii="仿宋" w:hAnsi="仿宋" w:eastAsia="仿宋" w:cs="仿宋"/>
          <w:sz w:val="24"/>
          <w:highlight w:val="none"/>
        </w:rPr>
        <w:t>场视为已踏勘，踏勘费用由</w:t>
      </w:r>
      <w:r>
        <w:rPr>
          <w:rFonts w:hint="eastAsia" w:ascii="仿宋" w:hAnsi="仿宋" w:eastAsia="仿宋" w:cs="仿宋"/>
          <w:sz w:val="24"/>
          <w:highlight w:val="none"/>
          <w:lang w:eastAsia="zh-CN"/>
        </w:rPr>
        <w:t>投标人</w:t>
      </w:r>
      <w:r>
        <w:rPr>
          <w:rFonts w:hint="eastAsia" w:ascii="仿宋" w:hAnsi="仿宋" w:eastAsia="仿宋" w:cs="仿宋"/>
          <w:sz w:val="24"/>
          <w:highlight w:val="none"/>
        </w:rPr>
        <w:t>自行承担。</w:t>
      </w:r>
    </w:p>
    <w:p w14:paraId="7CAD5489">
      <w:pPr>
        <w:spacing w:line="40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w:t>
      </w:r>
      <w:r>
        <w:rPr>
          <w:rFonts w:hint="eastAsia" w:ascii="仿宋" w:hAnsi="仿宋" w:eastAsia="仿宋" w:cs="仿宋"/>
          <w:sz w:val="24"/>
          <w:highlight w:val="none"/>
          <w:lang w:eastAsia="zh-CN"/>
        </w:rPr>
        <w:t>投标人</w:t>
      </w:r>
      <w:r>
        <w:rPr>
          <w:rFonts w:hint="eastAsia" w:ascii="仿宋" w:hAnsi="仿宋" w:eastAsia="仿宋" w:cs="仿宋"/>
          <w:sz w:val="24"/>
          <w:highlight w:val="none"/>
        </w:rPr>
        <w:t>在维保作业过程中不得损害</w:t>
      </w:r>
      <w:r>
        <w:rPr>
          <w:rFonts w:hint="eastAsia" w:ascii="仿宋" w:hAnsi="仿宋" w:eastAsia="仿宋" w:cs="仿宋"/>
          <w:sz w:val="24"/>
          <w:highlight w:val="none"/>
          <w:lang w:eastAsia="zh-CN"/>
        </w:rPr>
        <w:t>采购人</w:t>
      </w:r>
      <w:r>
        <w:rPr>
          <w:rFonts w:hint="eastAsia" w:ascii="仿宋" w:hAnsi="仿宋" w:eastAsia="仿宋" w:cs="仿宋"/>
          <w:sz w:val="24"/>
          <w:highlight w:val="none"/>
        </w:rPr>
        <w:t>的相关设施或妨碍院内的正常生产工作秩序；</w:t>
      </w:r>
    </w:p>
    <w:p w14:paraId="4DD1D927">
      <w:pPr>
        <w:spacing w:line="40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3.维保所需设施、设备、用具等全部由成交</w:t>
      </w:r>
      <w:r>
        <w:rPr>
          <w:rFonts w:hint="eastAsia" w:ascii="仿宋" w:hAnsi="仿宋" w:eastAsia="仿宋" w:cs="仿宋"/>
          <w:sz w:val="24"/>
          <w:highlight w:val="none"/>
          <w:lang w:eastAsia="zh-CN"/>
        </w:rPr>
        <w:t>投标人</w:t>
      </w:r>
      <w:r>
        <w:rPr>
          <w:rFonts w:hint="eastAsia" w:ascii="仿宋" w:hAnsi="仿宋" w:eastAsia="仿宋" w:cs="仿宋"/>
          <w:sz w:val="24"/>
          <w:highlight w:val="none"/>
        </w:rPr>
        <w:t>自行负责。</w:t>
      </w:r>
    </w:p>
    <w:p w14:paraId="7CC1ECA3">
      <w:pPr>
        <w:spacing w:line="360" w:lineRule="auto"/>
        <w:ind w:firstLine="723" w:firstLineChars="200"/>
        <w:jc w:val="center"/>
        <w:rPr>
          <w:rFonts w:hint="eastAsia" w:ascii="仿宋" w:hAnsi="仿宋" w:eastAsia="仿宋" w:cs="仿宋"/>
          <w:b/>
          <w:bCs/>
          <w:sz w:val="36"/>
          <w:szCs w:val="36"/>
        </w:rPr>
      </w:pPr>
    </w:p>
    <w:p w14:paraId="2AC9367C">
      <w:pPr>
        <w:spacing w:line="360" w:lineRule="auto"/>
        <w:ind w:firstLine="723" w:firstLineChars="200"/>
        <w:jc w:val="center"/>
        <w:rPr>
          <w:rFonts w:hint="eastAsia" w:ascii="仿宋" w:hAnsi="仿宋" w:eastAsia="仿宋" w:cs="仿宋"/>
          <w:b/>
          <w:bCs/>
          <w:sz w:val="36"/>
          <w:szCs w:val="36"/>
        </w:rPr>
        <w:sectPr>
          <w:headerReference r:id="rId3" w:type="default"/>
          <w:footerReference r:id="rId4" w:type="default"/>
          <w:pgSz w:w="11907" w:h="16840"/>
          <w:pgMar w:top="1134" w:right="1134" w:bottom="1134" w:left="1134" w:header="170" w:footer="992" w:gutter="0"/>
          <w:pgNumType w:start="1"/>
          <w:cols w:space="720" w:num="1"/>
          <w:docGrid w:linePitch="381" w:charSpace="-5735"/>
        </w:sectPr>
      </w:pPr>
    </w:p>
    <w:p w14:paraId="1919FD93">
      <w:pPr>
        <w:pStyle w:val="2"/>
        <w:spacing w:line="360" w:lineRule="auto"/>
        <w:rPr>
          <w:rFonts w:ascii="宋体" w:hAnsi="宋体" w:eastAsia="宋体" w:cs="宋体"/>
          <w:sz w:val="28"/>
          <w:szCs w:val="28"/>
        </w:rPr>
      </w:pPr>
      <w:bookmarkStart w:id="75" w:name="_Toc31119"/>
      <w:r>
        <w:rPr>
          <w:rFonts w:hint="eastAsia" w:ascii="宋体" w:hAnsi="宋体" w:eastAsia="宋体" w:cs="宋体"/>
        </w:rPr>
        <w:t>第三篇 项目商务要求</w:t>
      </w:r>
      <w:bookmarkEnd w:id="33"/>
      <w:bookmarkEnd w:id="34"/>
      <w:bookmarkEnd w:id="75"/>
      <w:bookmarkStart w:id="76" w:name="_Toc505608529"/>
    </w:p>
    <w:bookmarkEnd w:id="35"/>
    <w:bookmarkEnd w:id="76"/>
    <w:p w14:paraId="4EF9AECD">
      <w:pPr>
        <w:snapToGrid w:val="0"/>
        <w:spacing w:line="500" w:lineRule="exact"/>
        <w:rPr>
          <w:sz w:val="24"/>
        </w:rPr>
      </w:pPr>
    </w:p>
    <w:p w14:paraId="492A4E7B">
      <w:pPr>
        <w:keepNext/>
        <w:keepLines/>
        <w:widowControl w:val="0"/>
        <w:spacing w:before="140" w:after="140" w:line="240" w:lineRule="auto"/>
        <w:jc w:val="left"/>
        <w:outlineLvl w:val="0"/>
        <w:rPr>
          <w:rFonts w:hint="eastAsia" w:ascii="Arial" w:hAnsi="Arial" w:eastAsia="仿宋" w:cs="Times New Roman"/>
          <w:b/>
          <w:color w:val="auto"/>
          <w:kern w:val="2"/>
          <w:sz w:val="28"/>
          <w:lang w:val="en-US" w:eastAsia="zh-CN" w:bidi="ar-SA"/>
        </w:rPr>
      </w:pPr>
      <w:bookmarkStart w:id="77" w:name="_Toc9408"/>
      <w:bookmarkStart w:id="78" w:name="_Toc15836"/>
      <w:bookmarkStart w:id="79" w:name="_Toc20651"/>
      <w:bookmarkStart w:id="80" w:name="_Toc30514"/>
      <w:bookmarkStart w:id="81" w:name="_Toc9189"/>
      <w:bookmarkStart w:id="82" w:name="_Toc17804"/>
      <w:bookmarkStart w:id="83" w:name="_Toc23497561"/>
      <w:bookmarkStart w:id="84" w:name="_Toc267320054"/>
      <w:bookmarkStart w:id="85" w:name="_Toc3042"/>
      <w:bookmarkStart w:id="86" w:name="_Toc19113859"/>
      <w:bookmarkStart w:id="87" w:name="_Toc224805699"/>
      <w:r>
        <w:rPr>
          <w:rFonts w:hint="eastAsia" w:ascii="Arial" w:hAnsi="Arial" w:eastAsia="仿宋" w:cs="Times New Roman"/>
          <w:b/>
          <w:color w:val="auto"/>
          <w:kern w:val="2"/>
          <w:sz w:val="28"/>
          <w:lang w:val="en-US" w:eastAsia="zh-CN" w:bidi="ar-SA"/>
        </w:rPr>
        <w:t>一、服务期限、服务地点及验收方式</w:t>
      </w:r>
      <w:bookmarkEnd w:id="77"/>
      <w:bookmarkEnd w:id="78"/>
    </w:p>
    <w:p w14:paraId="47E8E9E0">
      <w:pPr>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（一）服务期限：自合同签订之日起三年</w:t>
      </w:r>
      <w:r>
        <w:rPr>
          <w:rFonts w:hint="eastAsia" w:ascii="仿宋" w:hAnsi="仿宋" w:eastAsia="仿宋" w:cs="仿宋"/>
          <w:color w:val="auto"/>
          <w:kern w:val="2"/>
          <w:sz w:val="24"/>
          <w:szCs w:val="24"/>
          <w:lang w:eastAsia="zh-CN"/>
        </w:rPr>
        <w:t>，</w:t>
      </w:r>
      <w:r>
        <w:rPr>
          <w:rFonts w:hint="eastAsia" w:ascii="仿宋" w:hAnsi="仿宋" w:eastAsia="仿宋" w:cs="仿宋"/>
          <w:color w:val="auto"/>
          <w:kern w:val="2"/>
          <w:sz w:val="24"/>
          <w:szCs w:val="24"/>
          <w:lang w:val="en-US" w:eastAsia="zh-CN"/>
        </w:rPr>
        <w:t>合同1年一签。服务每满1年后由采购人提供年度履约评价报告（评价为合格及以上）后续签合同。</w:t>
      </w:r>
    </w:p>
    <w:p w14:paraId="63B1825D">
      <w:pPr>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（二）服务地点：重庆市黔江区正阳街道正舟路南段360号（重庆市黔江中心医院）。</w:t>
      </w:r>
    </w:p>
    <w:p w14:paraId="5C456A17">
      <w:pPr>
        <w:snapToGrid w:val="0"/>
        <w:spacing w:line="360" w:lineRule="auto"/>
        <w:ind w:firstLine="480" w:firstLineChars="200"/>
        <w:rPr>
          <w:rFonts w:hint="eastAsia" w:ascii="仿宋" w:hAnsi="仿宋" w:eastAsia="仿宋" w:cs="仿宋"/>
          <w:b/>
          <w:bCs/>
          <w:color w:val="auto"/>
          <w:kern w:val="2"/>
          <w:sz w:val="24"/>
          <w:szCs w:val="24"/>
        </w:rPr>
      </w:pPr>
      <w:r>
        <w:rPr>
          <w:rFonts w:hint="eastAsia" w:ascii="仿宋" w:hAnsi="仿宋" w:eastAsia="仿宋" w:cs="仿宋"/>
          <w:color w:val="auto"/>
          <w:kern w:val="2"/>
          <w:sz w:val="24"/>
          <w:szCs w:val="24"/>
        </w:rPr>
        <w:t>（三）验收方式：</w:t>
      </w:r>
      <w:r>
        <w:rPr>
          <w:rFonts w:hint="eastAsia" w:ascii="仿宋" w:hAnsi="仿宋" w:eastAsia="仿宋" w:cs="仿宋"/>
          <w:color w:val="auto"/>
          <w:kern w:val="2"/>
          <w:sz w:val="24"/>
          <w:szCs w:val="24"/>
          <w:lang w:eastAsia="zh-CN"/>
        </w:rPr>
        <w:t>采购人</w:t>
      </w:r>
      <w:r>
        <w:rPr>
          <w:rFonts w:hint="eastAsia" w:ascii="仿宋" w:hAnsi="仿宋" w:eastAsia="仿宋" w:cs="仿宋"/>
          <w:color w:val="auto"/>
          <w:kern w:val="2"/>
          <w:sz w:val="24"/>
          <w:szCs w:val="24"/>
        </w:rPr>
        <w:t>自行组织验收。</w:t>
      </w:r>
      <w:bookmarkStart w:id="88" w:name="_Toc40784080"/>
    </w:p>
    <w:p w14:paraId="3A5D6A4E">
      <w:pPr>
        <w:keepNext/>
        <w:keepLines/>
        <w:widowControl w:val="0"/>
        <w:spacing w:before="140" w:after="140" w:line="240" w:lineRule="auto"/>
        <w:jc w:val="left"/>
        <w:outlineLvl w:val="0"/>
        <w:rPr>
          <w:rFonts w:hint="eastAsia" w:ascii="Arial" w:hAnsi="Arial" w:eastAsia="仿宋" w:cs="Times New Roman"/>
          <w:b/>
          <w:color w:val="auto"/>
          <w:kern w:val="2"/>
          <w:sz w:val="28"/>
          <w:lang w:val="en-US" w:eastAsia="zh-CN" w:bidi="ar-SA"/>
        </w:rPr>
      </w:pPr>
      <w:bookmarkStart w:id="89" w:name="_Toc19359"/>
      <w:bookmarkStart w:id="90" w:name="_Toc15393"/>
      <w:r>
        <w:rPr>
          <w:rFonts w:hint="eastAsia" w:ascii="Arial" w:hAnsi="Arial" w:eastAsia="仿宋" w:cs="Times New Roman"/>
          <w:b/>
          <w:color w:val="auto"/>
          <w:kern w:val="2"/>
          <w:sz w:val="28"/>
          <w:lang w:val="en-US" w:eastAsia="zh-CN" w:bidi="ar-SA"/>
        </w:rPr>
        <w:t>二、报价要求</w:t>
      </w:r>
      <w:bookmarkEnd w:id="89"/>
      <w:bookmarkEnd w:id="90"/>
    </w:p>
    <w:bookmarkEnd w:id="88"/>
    <w:p w14:paraId="3F4B4B47">
      <w:pPr>
        <w:snapToGrid w:val="0"/>
        <w:spacing w:line="360" w:lineRule="auto"/>
        <w:ind w:firstLine="480" w:firstLineChars="200"/>
        <w:rPr>
          <w:rFonts w:hint="eastAsia" w:ascii="仿宋" w:hAnsi="仿宋" w:eastAsia="仿宋" w:cs="仿宋"/>
          <w:color w:val="auto"/>
          <w:kern w:val="2"/>
          <w:sz w:val="24"/>
          <w:szCs w:val="24"/>
        </w:rPr>
      </w:pPr>
      <w:bookmarkStart w:id="91" w:name="_Toc344475121"/>
      <w:bookmarkStart w:id="92" w:name="_Toc25913"/>
      <w:bookmarkStart w:id="93" w:name="_Toc508636294"/>
      <w:r>
        <w:rPr>
          <w:rFonts w:hint="eastAsia" w:ascii="仿宋" w:hAnsi="仿宋" w:eastAsia="仿宋" w:cs="仿宋"/>
          <w:color w:val="auto"/>
          <w:kern w:val="2"/>
          <w:sz w:val="24"/>
          <w:szCs w:val="24"/>
        </w:rPr>
        <w:t>1.本次报价为人民币报价，报价包括：成本费、人工费、运费、安装费、税费、质保、维保、保险、售后服务、卫生、搬运费等所有费用，以及完成本次投标所有费用，且无论任何原因在合同有效期内均不得调整成交总价。投标人需自行自费到项目现场踏勘,以了解本项目实际情况和采购人的需求，中标后任何索赔或诉求采购人均不会批准。</w:t>
      </w:r>
    </w:p>
    <w:p w14:paraId="07C3F157">
      <w:pPr>
        <w:snapToGrid w:val="0"/>
        <w:spacing w:line="360" w:lineRule="auto"/>
        <w:ind w:firstLine="480" w:firstLineChars="200"/>
        <w:rPr>
          <w:rFonts w:hint="eastAsia" w:ascii="仿宋" w:hAnsi="仿宋" w:eastAsia="仿宋" w:cs="仿宋"/>
          <w:color w:val="auto"/>
          <w:kern w:val="2"/>
          <w:sz w:val="24"/>
          <w:szCs w:val="24"/>
          <w:lang w:eastAsia="zh-CN"/>
        </w:rPr>
      </w:pPr>
      <w:r>
        <w:rPr>
          <w:rFonts w:hint="eastAsia" w:ascii="仿宋" w:hAnsi="仿宋" w:eastAsia="仿宋" w:cs="仿宋"/>
          <w:color w:val="auto"/>
          <w:kern w:val="2"/>
          <w:sz w:val="24"/>
          <w:szCs w:val="24"/>
        </w:rPr>
        <w:t>2.</w:t>
      </w:r>
      <w:r>
        <w:rPr>
          <w:rFonts w:hint="eastAsia" w:ascii="仿宋" w:hAnsi="仿宋" w:eastAsia="仿宋" w:cs="仿宋"/>
          <w:color w:val="auto"/>
          <w:kern w:val="2"/>
          <w:sz w:val="24"/>
          <w:szCs w:val="24"/>
          <w:lang w:eastAsia="zh-CN"/>
        </w:rPr>
        <w:t>投标人</w:t>
      </w:r>
      <w:r>
        <w:rPr>
          <w:rFonts w:hint="eastAsia" w:ascii="仿宋" w:hAnsi="仿宋" w:eastAsia="仿宋" w:cs="仿宋"/>
          <w:color w:val="auto"/>
          <w:kern w:val="2"/>
          <w:sz w:val="24"/>
          <w:szCs w:val="24"/>
        </w:rPr>
        <w:t>自行承担员工发生工伤、疾病乃至死亡的一切责任费用</w:t>
      </w:r>
      <w:r>
        <w:rPr>
          <w:rFonts w:hint="eastAsia" w:ascii="仿宋" w:hAnsi="仿宋" w:eastAsia="仿宋" w:cs="仿宋"/>
          <w:color w:val="auto"/>
          <w:kern w:val="2"/>
          <w:sz w:val="24"/>
          <w:szCs w:val="24"/>
          <w:lang w:eastAsia="zh-CN"/>
        </w:rPr>
        <w:t>。</w:t>
      </w:r>
    </w:p>
    <w:p w14:paraId="595EAF07">
      <w:pPr>
        <w:keepNext/>
        <w:keepLines/>
        <w:widowControl w:val="0"/>
        <w:spacing w:before="140" w:after="140" w:line="240" w:lineRule="auto"/>
        <w:jc w:val="left"/>
        <w:outlineLvl w:val="0"/>
        <w:rPr>
          <w:rFonts w:hint="eastAsia" w:ascii="Arial" w:hAnsi="Arial" w:eastAsia="仿宋" w:cs="Times New Roman"/>
          <w:b/>
          <w:color w:val="auto"/>
          <w:kern w:val="2"/>
          <w:sz w:val="28"/>
          <w:lang w:val="en-US" w:eastAsia="zh-CN" w:bidi="ar-SA"/>
        </w:rPr>
      </w:pPr>
      <w:bookmarkStart w:id="94" w:name="_Toc21482"/>
      <w:bookmarkStart w:id="95" w:name="_Toc2914"/>
      <w:r>
        <w:rPr>
          <w:rFonts w:hint="eastAsia" w:ascii="Arial" w:hAnsi="Arial" w:eastAsia="仿宋" w:cs="Times New Roman"/>
          <w:b/>
          <w:color w:val="auto"/>
          <w:kern w:val="2"/>
          <w:sz w:val="28"/>
          <w:lang w:val="en-US" w:eastAsia="zh-CN" w:bidi="ar-SA"/>
        </w:rPr>
        <w:t>三、</w:t>
      </w:r>
      <w:bookmarkEnd w:id="91"/>
      <w:r>
        <w:rPr>
          <w:rFonts w:hint="eastAsia" w:ascii="Arial" w:hAnsi="Arial" w:eastAsia="仿宋" w:cs="Times New Roman"/>
          <w:b/>
          <w:color w:val="auto"/>
          <w:kern w:val="2"/>
          <w:sz w:val="28"/>
          <w:lang w:val="en-US" w:eastAsia="zh-CN" w:bidi="ar-SA"/>
        </w:rPr>
        <w:t>付款方式</w:t>
      </w:r>
      <w:bookmarkEnd w:id="92"/>
      <w:bookmarkEnd w:id="93"/>
      <w:bookmarkEnd w:id="94"/>
      <w:bookmarkEnd w:id="95"/>
      <w:bookmarkStart w:id="96" w:name="_Toc4252"/>
      <w:bookmarkStart w:id="97" w:name="_Toc14177"/>
      <w:bookmarkStart w:id="98" w:name="_Toc8897"/>
      <w:bookmarkStart w:id="99" w:name="_Toc106030512"/>
      <w:bookmarkStart w:id="100" w:name="_Toc4774"/>
      <w:bookmarkStart w:id="101" w:name="_Toc22134"/>
      <w:bookmarkStart w:id="102" w:name="_Toc2821"/>
      <w:bookmarkStart w:id="103" w:name="_Toc18405"/>
      <w:bookmarkStart w:id="104" w:name="_Toc2244"/>
      <w:bookmarkStart w:id="105" w:name="_Toc3465"/>
      <w:bookmarkStart w:id="106" w:name="_Toc27382"/>
      <w:bookmarkStart w:id="107" w:name="_Toc4370"/>
      <w:bookmarkStart w:id="108" w:name="_Toc75793511"/>
      <w:bookmarkStart w:id="109" w:name="_Toc15096"/>
      <w:bookmarkStart w:id="110" w:name="_Toc23903"/>
      <w:bookmarkStart w:id="111" w:name="_Toc1450"/>
    </w:p>
    <w:p w14:paraId="31AB4ED1">
      <w:pPr>
        <w:snapToGrid w:val="0"/>
        <w:spacing w:line="360" w:lineRule="auto"/>
        <w:ind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1</w:t>
      </w:r>
      <w:r>
        <w:rPr>
          <w:rFonts w:hint="eastAsia" w:ascii="仿宋" w:hAnsi="仿宋" w:eastAsia="仿宋" w:cs="仿宋"/>
          <w:color w:val="auto"/>
          <w:kern w:val="2"/>
          <w:sz w:val="24"/>
          <w:szCs w:val="24"/>
          <w:highlight w:val="none"/>
          <w:lang w:val="en-US" w:eastAsia="zh-CN"/>
        </w:rPr>
        <w:t>.</w:t>
      </w:r>
      <w:r>
        <w:rPr>
          <w:rFonts w:hint="eastAsia" w:ascii="仿宋" w:hAnsi="仿宋" w:eastAsia="仿宋" w:cs="仿宋"/>
          <w:color w:val="auto"/>
          <w:kern w:val="2"/>
          <w:sz w:val="24"/>
          <w:szCs w:val="24"/>
          <w:highlight w:val="none"/>
        </w:rPr>
        <w:t>合同签订时投标人向采购人交纳合同金额5%的履约保证金（</w:t>
      </w:r>
      <w:r>
        <w:rPr>
          <w:rFonts w:hint="eastAsia" w:ascii="仿宋" w:hAnsi="仿宋" w:eastAsia="仿宋" w:cs="仿宋"/>
          <w:color w:val="auto"/>
          <w:kern w:val="2"/>
          <w:sz w:val="24"/>
          <w:szCs w:val="24"/>
          <w:highlight w:val="none"/>
          <w:lang w:val="en-US" w:eastAsia="zh-CN"/>
        </w:rPr>
        <w:t>可</w:t>
      </w:r>
      <w:r>
        <w:rPr>
          <w:rFonts w:hint="eastAsia" w:ascii="仿宋" w:hAnsi="仿宋" w:eastAsia="仿宋" w:cs="仿宋"/>
          <w:color w:val="auto"/>
          <w:kern w:val="2"/>
          <w:sz w:val="24"/>
          <w:szCs w:val="24"/>
          <w:highlight w:val="none"/>
        </w:rPr>
        <w:t>以支票、汇票、本票或者金融机构、担保机构出具的保函等非现金形式提交）。</w:t>
      </w:r>
    </w:p>
    <w:p w14:paraId="6E7F6001">
      <w:pPr>
        <w:snapToGrid w:val="0"/>
        <w:spacing w:line="360" w:lineRule="auto"/>
        <w:ind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2</w:t>
      </w:r>
      <w:r>
        <w:rPr>
          <w:rFonts w:hint="eastAsia" w:ascii="仿宋" w:hAnsi="仿宋" w:eastAsia="仿宋" w:cs="仿宋"/>
          <w:color w:val="auto"/>
          <w:kern w:val="2"/>
          <w:sz w:val="24"/>
          <w:szCs w:val="24"/>
          <w:highlight w:val="none"/>
          <w:lang w:val="en-US" w:eastAsia="zh-CN"/>
        </w:rPr>
        <w:t>.</w:t>
      </w:r>
      <w:r>
        <w:rPr>
          <w:rFonts w:hint="eastAsia" w:ascii="仿宋" w:hAnsi="仿宋" w:eastAsia="仿宋" w:cs="仿宋"/>
          <w:color w:val="auto"/>
          <w:kern w:val="2"/>
          <w:sz w:val="24"/>
          <w:szCs w:val="24"/>
          <w:highlight w:val="none"/>
        </w:rPr>
        <w:t>每月支付一次服务费，采购人根据每月对投标人服务质量进行的考核结果及每月考勤</w:t>
      </w:r>
      <w:r>
        <w:rPr>
          <w:rFonts w:hint="eastAsia" w:ascii="仿宋" w:hAnsi="仿宋" w:eastAsia="仿宋" w:cs="仿宋"/>
          <w:color w:val="auto"/>
          <w:kern w:val="2"/>
          <w:sz w:val="24"/>
          <w:szCs w:val="24"/>
          <w:highlight w:val="none"/>
          <w:lang w:val="en-US" w:eastAsia="zh-CN"/>
        </w:rPr>
        <w:t>情况</w:t>
      </w:r>
      <w:r>
        <w:rPr>
          <w:rFonts w:hint="eastAsia" w:ascii="仿宋" w:hAnsi="仿宋" w:eastAsia="仿宋" w:cs="仿宋"/>
          <w:color w:val="auto"/>
          <w:kern w:val="2"/>
          <w:sz w:val="24"/>
          <w:szCs w:val="24"/>
          <w:highlight w:val="none"/>
        </w:rPr>
        <w:t>进行结算（投标人附每月消防维保</w:t>
      </w:r>
      <w:r>
        <w:rPr>
          <w:rFonts w:hint="eastAsia" w:ascii="仿宋" w:hAnsi="仿宋" w:eastAsia="仿宋" w:cs="仿宋"/>
          <w:color w:val="auto"/>
          <w:kern w:val="2"/>
          <w:sz w:val="24"/>
          <w:szCs w:val="24"/>
          <w:highlight w:val="none"/>
          <w:lang w:val="en-US" w:eastAsia="zh-CN"/>
        </w:rPr>
        <w:t>记录</w:t>
      </w:r>
      <w:r>
        <w:rPr>
          <w:rFonts w:hint="eastAsia" w:ascii="仿宋" w:hAnsi="仿宋" w:eastAsia="仿宋" w:cs="仿宋"/>
          <w:color w:val="auto"/>
          <w:kern w:val="2"/>
          <w:sz w:val="24"/>
          <w:szCs w:val="24"/>
          <w:highlight w:val="none"/>
        </w:rPr>
        <w:t>），向投标人支付</w:t>
      </w:r>
      <w:r>
        <w:rPr>
          <w:rFonts w:hint="eastAsia" w:ascii="仿宋" w:hAnsi="仿宋" w:eastAsia="仿宋" w:cs="仿宋"/>
          <w:color w:val="auto"/>
          <w:kern w:val="2"/>
          <w:sz w:val="24"/>
          <w:szCs w:val="24"/>
          <w:highlight w:val="none"/>
          <w:lang w:val="en-US" w:eastAsia="zh-CN"/>
        </w:rPr>
        <w:t>该月</w:t>
      </w:r>
      <w:r>
        <w:rPr>
          <w:rFonts w:hint="eastAsia" w:ascii="仿宋" w:hAnsi="仿宋" w:eastAsia="仿宋" w:cs="仿宋"/>
          <w:color w:val="auto"/>
          <w:kern w:val="2"/>
          <w:sz w:val="24"/>
          <w:szCs w:val="24"/>
          <w:highlight w:val="none"/>
        </w:rPr>
        <w:t>服务费；每次所支付的服务费，需先行扣除该付款周期内发生的违约金、</w:t>
      </w:r>
      <w:r>
        <w:rPr>
          <w:rFonts w:hint="eastAsia" w:ascii="仿宋" w:hAnsi="仿宋" w:eastAsia="仿宋" w:cs="仿宋"/>
          <w:color w:val="auto"/>
          <w:kern w:val="2"/>
          <w:sz w:val="24"/>
          <w:szCs w:val="24"/>
          <w:highlight w:val="none"/>
          <w:lang w:val="en-US" w:eastAsia="zh-CN"/>
        </w:rPr>
        <w:t>扣</w:t>
      </w:r>
      <w:r>
        <w:rPr>
          <w:rFonts w:hint="eastAsia" w:ascii="仿宋" w:hAnsi="仿宋" w:eastAsia="仿宋" w:cs="仿宋"/>
          <w:color w:val="auto"/>
          <w:kern w:val="2"/>
          <w:sz w:val="24"/>
          <w:szCs w:val="24"/>
          <w:highlight w:val="none"/>
        </w:rPr>
        <w:t>罚金</w:t>
      </w:r>
      <w:r>
        <w:rPr>
          <w:rFonts w:hint="eastAsia" w:ascii="仿宋" w:hAnsi="仿宋" w:eastAsia="仿宋" w:cs="仿宋"/>
          <w:color w:val="auto"/>
          <w:kern w:val="2"/>
          <w:sz w:val="24"/>
          <w:szCs w:val="24"/>
          <w:highlight w:val="none"/>
          <w:lang w:val="en-US" w:eastAsia="zh-CN"/>
        </w:rPr>
        <w:t>额</w:t>
      </w:r>
      <w:r>
        <w:rPr>
          <w:rFonts w:hint="eastAsia" w:ascii="仿宋" w:hAnsi="仿宋" w:eastAsia="仿宋" w:cs="仿宋"/>
          <w:color w:val="auto"/>
          <w:kern w:val="2"/>
          <w:sz w:val="24"/>
          <w:szCs w:val="24"/>
          <w:highlight w:val="none"/>
        </w:rPr>
        <w:t>、赔偿金等。</w:t>
      </w:r>
    </w:p>
    <w:p w14:paraId="73D14983">
      <w:pPr>
        <w:snapToGrid w:val="0"/>
        <w:spacing w:line="360" w:lineRule="auto"/>
        <w:ind w:firstLine="480" w:firstLineChars="200"/>
        <w:rPr>
          <w:rFonts w:hint="default"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每月服务费用=（该月实际出勤天数/该月应出勤天数）*100% * （合同总金额/36个月）-当月扣除金额。</w:t>
      </w:r>
    </w:p>
    <w:p w14:paraId="1AA03379">
      <w:pPr>
        <w:snapToGrid w:val="0"/>
        <w:spacing w:line="360" w:lineRule="auto"/>
        <w:ind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3</w:t>
      </w:r>
      <w:r>
        <w:rPr>
          <w:rFonts w:hint="eastAsia" w:ascii="仿宋" w:hAnsi="仿宋" w:eastAsia="仿宋" w:cs="仿宋"/>
          <w:color w:val="auto"/>
          <w:kern w:val="2"/>
          <w:sz w:val="24"/>
          <w:szCs w:val="24"/>
          <w:highlight w:val="none"/>
          <w:lang w:val="en-US" w:eastAsia="zh-CN"/>
        </w:rPr>
        <w:t>.</w:t>
      </w:r>
      <w:r>
        <w:rPr>
          <w:rFonts w:hint="eastAsia" w:ascii="仿宋" w:hAnsi="仿宋" w:eastAsia="仿宋" w:cs="仿宋"/>
          <w:color w:val="auto"/>
          <w:kern w:val="2"/>
          <w:sz w:val="24"/>
          <w:szCs w:val="24"/>
          <w:highlight w:val="none"/>
        </w:rPr>
        <w:t>履约保证金的退还：经采购人考核，投标人严格遵守合同约定，未发生违约情况的，则在</w:t>
      </w:r>
      <w:r>
        <w:rPr>
          <w:rFonts w:hint="eastAsia" w:ascii="仿宋" w:hAnsi="仿宋" w:eastAsia="仿宋" w:cs="仿宋"/>
          <w:color w:val="auto"/>
          <w:kern w:val="2"/>
          <w:sz w:val="24"/>
          <w:szCs w:val="24"/>
          <w:highlight w:val="none"/>
          <w:lang w:val="en-US" w:eastAsia="zh-CN"/>
        </w:rPr>
        <w:t>本次遴选所有</w:t>
      </w:r>
      <w:r>
        <w:rPr>
          <w:rFonts w:hint="eastAsia" w:ascii="仿宋" w:hAnsi="仿宋" w:eastAsia="仿宋" w:cs="仿宋"/>
          <w:color w:val="auto"/>
          <w:kern w:val="2"/>
          <w:sz w:val="24"/>
          <w:szCs w:val="24"/>
          <w:highlight w:val="none"/>
        </w:rPr>
        <w:t>合同期满且处理完合同期内发生的劳动、劳务纠纷等遗留问题并按期撤场后十五个工作日内无息退款（履约保证金）。</w:t>
      </w:r>
    </w:p>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14:paraId="0ECA7BD3">
      <w:pPr>
        <w:keepNext/>
        <w:keepLines/>
        <w:widowControl w:val="0"/>
        <w:spacing w:before="140" w:after="140" w:line="240" w:lineRule="auto"/>
        <w:jc w:val="left"/>
        <w:outlineLvl w:val="0"/>
        <w:rPr>
          <w:rFonts w:hint="eastAsia" w:ascii="Arial" w:hAnsi="Arial" w:eastAsia="仿宋" w:cs="Times New Roman"/>
          <w:b/>
          <w:color w:val="auto"/>
          <w:kern w:val="2"/>
          <w:sz w:val="28"/>
          <w:lang w:val="en-US" w:eastAsia="zh-CN" w:bidi="ar-SA"/>
        </w:rPr>
      </w:pPr>
      <w:bookmarkStart w:id="112" w:name="_Toc344475123"/>
      <w:bookmarkStart w:id="113" w:name="_Toc1286"/>
      <w:bookmarkStart w:id="114" w:name="_Toc522724249"/>
      <w:bookmarkStart w:id="115" w:name="_Toc25259"/>
      <w:bookmarkStart w:id="116" w:name="_Toc18965"/>
      <w:bookmarkStart w:id="117" w:name="_Toc26086"/>
      <w:bookmarkStart w:id="118" w:name="_Toc13377"/>
      <w:bookmarkStart w:id="119" w:name="_Toc28827"/>
      <w:bookmarkStart w:id="120" w:name="_Toc15161"/>
      <w:bookmarkStart w:id="121" w:name="_Toc17045"/>
      <w:bookmarkStart w:id="122" w:name="_Toc26298"/>
      <w:bookmarkStart w:id="123" w:name="_Toc5493"/>
      <w:r>
        <w:rPr>
          <w:rFonts w:hint="eastAsia" w:ascii="Arial" w:hAnsi="Arial" w:eastAsia="仿宋" w:cs="Times New Roman"/>
          <w:b/>
          <w:color w:val="auto"/>
          <w:kern w:val="2"/>
          <w:sz w:val="28"/>
          <w:lang w:val="en-US" w:eastAsia="zh-CN" w:bidi="ar-SA"/>
        </w:rPr>
        <w:t>四、知识产权</w:t>
      </w:r>
      <w:bookmarkEnd w:id="112"/>
      <w:bookmarkEnd w:id="113"/>
      <w:bookmarkEnd w:id="114"/>
      <w:bookmarkEnd w:id="115"/>
      <w:bookmarkEnd w:id="116"/>
      <w:bookmarkEnd w:id="117"/>
      <w:bookmarkEnd w:id="118"/>
      <w:bookmarkEnd w:id="119"/>
      <w:bookmarkEnd w:id="120"/>
      <w:bookmarkEnd w:id="121"/>
      <w:bookmarkEnd w:id="122"/>
      <w:bookmarkEnd w:id="123"/>
    </w:p>
    <w:p w14:paraId="470C29EF">
      <w:pPr>
        <w:snapToGrid w:val="0"/>
        <w:spacing w:line="360" w:lineRule="auto"/>
        <w:ind w:firstLine="480" w:firstLineChars="200"/>
        <w:rPr>
          <w:rFonts w:hint="eastAsia" w:ascii="仿宋" w:hAnsi="仿宋" w:eastAsia="仿宋" w:cs="仿宋"/>
          <w:color w:val="auto"/>
          <w:kern w:val="2"/>
          <w:sz w:val="24"/>
          <w:szCs w:val="24"/>
        </w:rPr>
      </w:pPr>
      <w:bookmarkStart w:id="124" w:name="_Toc16712"/>
      <w:bookmarkStart w:id="125" w:name="_Toc12860"/>
      <w:bookmarkStart w:id="126" w:name="_Toc16731"/>
      <w:bookmarkStart w:id="127" w:name="_Toc28884"/>
      <w:r>
        <w:rPr>
          <w:rFonts w:hint="eastAsia" w:ascii="仿宋" w:hAnsi="仿宋" w:eastAsia="仿宋" w:cs="仿宋"/>
          <w:color w:val="auto"/>
          <w:kern w:val="2"/>
          <w:sz w:val="24"/>
          <w:szCs w:val="24"/>
          <w:lang w:eastAsia="zh-CN"/>
        </w:rPr>
        <w:t>采购人</w:t>
      </w:r>
      <w:r>
        <w:rPr>
          <w:rFonts w:hint="eastAsia" w:ascii="仿宋" w:hAnsi="仿宋" w:eastAsia="仿宋" w:cs="仿宋"/>
          <w:color w:val="auto"/>
          <w:kern w:val="2"/>
          <w:sz w:val="24"/>
          <w:szCs w:val="24"/>
        </w:rPr>
        <w:t>在中华人民共和国境内使用</w:t>
      </w:r>
      <w:r>
        <w:rPr>
          <w:rFonts w:hint="eastAsia" w:ascii="仿宋" w:hAnsi="仿宋" w:eastAsia="仿宋" w:cs="仿宋"/>
          <w:color w:val="auto"/>
          <w:kern w:val="2"/>
          <w:sz w:val="24"/>
          <w:szCs w:val="24"/>
          <w:lang w:eastAsia="zh-CN"/>
        </w:rPr>
        <w:t>投标人</w:t>
      </w:r>
      <w:r>
        <w:rPr>
          <w:rFonts w:hint="eastAsia" w:ascii="仿宋" w:hAnsi="仿宋" w:eastAsia="仿宋" w:cs="仿宋"/>
          <w:color w:val="auto"/>
          <w:kern w:val="2"/>
          <w:sz w:val="24"/>
          <w:szCs w:val="24"/>
        </w:rPr>
        <w:t>提供的货物及服务时免受第三方提出的侵犯其专利权或其他知识产权的起诉。如果第三方提出侵权指控，</w:t>
      </w:r>
      <w:r>
        <w:rPr>
          <w:rFonts w:hint="eastAsia" w:ascii="仿宋" w:hAnsi="仿宋" w:eastAsia="仿宋" w:cs="仿宋"/>
          <w:color w:val="auto"/>
          <w:kern w:val="2"/>
          <w:sz w:val="24"/>
          <w:szCs w:val="24"/>
          <w:lang w:eastAsia="zh-CN"/>
        </w:rPr>
        <w:t>投标人</w:t>
      </w:r>
      <w:r>
        <w:rPr>
          <w:rFonts w:hint="eastAsia" w:ascii="仿宋" w:hAnsi="仿宋" w:eastAsia="仿宋" w:cs="仿宋"/>
          <w:color w:val="auto"/>
          <w:kern w:val="2"/>
          <w:sz w:val="24"/>
          <w:szCs w:val="24"/>
        </w:rPr>
        <w:t>应承担由此而引起的一切法律责任和费用。</w:t>
      </w:r>
      <w:bookmarkEnd w:id="124"/>
      <w:bookmarkEnd w:id="125"/>
      <w:bookmarkEnd w:id="126"/>
      <w:bookmarkEnd w:id="127"/>
      <w:bookmarkStart w:id="128" w:name="_Toc344475124"/>
      <w:bookmarkStart w:id="129" w:name="_Toc25893"/>
      <w:bookmarkStart w:id="130" w:name="_Toc27081"/>
      <w:bookmarkStart w:id="131" w:name="_Toc522724250"/>
      <w:bookmarkStart w:id="132" w:name="_Toc12001"/>
      <w:bookmarkStart w:id="133" w:name="_Toc28823"/>
      <w:bookmarkStart w:id="134" w:name="_Toc25379"/>
      <w:bookmarkStart w:id="135" w:name="_Toc10030"/>
      <w:bookmarkStart w:id="136" w:name="_Toc4439"/>
      <w:bookmarkStart w:id="137" w:name="_Toc2692"/>
    </w:p>
    <w:p w14:paraId="6D9BE09B">
      <w:pPr>
        <w:keepNext/>
        <w:keepLines/>
        <w:widowControl w:val="0"/>
        <w:spacing w:before="140" w:after="140" w:line="240" w:lineRule="auto"/>
        <w:jc w:val="left"/>
        <w:outlineLvl w:val="0"/>
        <w:rPr>
          <w:rFonts w:hint="eastAsia" w:ascii="Arial" w:hAnsi="Arial" w:eastAsia="仿宋" w:cs="Times New Roman"/>
          <w:b/>
          <w:color w:val="auto"/>
          <w:kern w:val="2"/>
          <w:sz w:val="28"/>
          <w:lang w:val="en-US" w:eastAsia="zh-CN" w:bidi="ar-SA"/>
        </w:rPr>
      </w:pPr>
      <w:bookmarkStart w:id="138" w:name="_Toc9251"/>
      <w:bookmarkStart w:id="139" w:name="_Toc13327"/>
      <w:r>
        <w:rPr>
          <w:rFonts w:hint="eastAsia" w:ascii="Arial" w:hAnsi="Arial" w:eastAsia="仿宋" w:cs="Times New Roman"/>
          <w:b/>
          <w:color w:val="auto"/>
          <w:kern w:val="2"/>
          <w:sz w:val="28"/>
          <w:lang w:val="en-US" w:eastAsia="zh-CN" w:bidi="ar-SA"/>
        </w:rPr>
        <w:t>五、</w:t>
      </w:r>
      <w:bookmarkEnd w:id="128"/>
      <w:bookmarkStart w:id="140" w:name="_Toc344475125"/>
      <w:r>
        <w:rPr>
          <w:rFonts w:hint="eastAsia" w:ascii="Arial" w:hAnsi="Arial" w:eastAsia="仿宋" w:cs="Times New Roman"/>
          <w:b/>
          <w:color w:val="auto"/>
          <w:kern w:val="2"/>
          <w:sz w:val="28"/>
          <w:lang w:val="en-US" w:eastAsia="zh-CN" w:bidi="ar-SA"/>
        </w:rPr>
        <w:t>其他</w:t>
      </w:r>
      <w:bookmarkEnd w:id="129"/>
      <w:bookmarkEnd w:id="130"/>
      <w:bookmarkEnd w:id="131"/>
      <w:bookmarkEnd w:id="132"/>
      <w:bookmarkEnd w:id="133"/>
      <w:bookmarkEnd w:id="134"/>
      <w:bookmarkEnd w:id="135"/>
      <w:bookmarkEnd w:id="136"/>
      <w:bookmarkEnd w:id="137"/>
      <w:bookmarkEnd w:id="138"/>
      <w:bookmarkEnd w:id="139"/>
      <w:bookmarkEnd w:id="140"/>
    </w:p>
    <w:p w14:paraId="44009A73">
      <w:pPr>
        <w:keepNext w:val="0"/>
        <w:keepLines w:val="0"/>
        <w:widowControl w:val="0"/>
        <w:wordWrap w:val="0"/>
        <w:topLinePunct/>
        <w:spacing w:before="140" w:after="140" w:line="400" w:lineRule="exact"/>
        <w:ind w:firstLine="480" w:firstLineChars="200"/>
        <w:jc w:val="left"/>
        <w:outlineLvl w:val="1"/>
        <w:rPr>
          <w:rFonts w:hint="eastAsia" w:ascii="仿宋" w:hAnsi="仿宋" w:eastAsia="仿宋" w:cs="仿宋"/>
          <w:b w:val="0"/>
          <w:color w:val="auto"/>
          <w:kern w:val="2"/>
          <w:sz w:val="24"/>
          <w:szCs w:val="24"/>
          <w:lang w:val="en-US" w:eastAsia="zh-CN" w:bidi="ar-SA"/>
        </w:rPr>
      </w:pPr>
      <w:bookmarkStart w:id="141" w:name="_Toc28288"/>
      <w:bookmarkStart w:id="142" w:name="_Toc29885"/>
      <w:r>
        <w:rPr>
          <w:rFonts w:hint="eastAsia" w:ascii="仿宋" w:hAnsi="仿宋" w:eastAsia="仿宋" w:cs="仿宋"/>
          <w:b w:val="0"/>
          <w:color w:val="auto"/>
          <w:kern w:val="2"/>
          <w:sz w:val="24"/>
          <w:szCs w:val="24"/>
          <w:lang w:val="en-US" w:eastAsia="zh-CN" w:bidi="ar-SA"/>
        </w:rPr>
        <w:t>（一）投标人履约责任</w:t>
      </w:r>
      <w:bookmarkEnd w:id="141"/>
      <w:bookmarkEnd w:id="142"/>
    </w:p>
    <w:p w14:paraId="2D1B5968">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bookmarkStart w:id="143" w:name="_Toc19119"/>
      <w:r>
        <w:rPr>
          <w:rFonts w:hint="eastAsia" w:ascii="仿宋" w:hAnsi="仿宋" w:eastAsia="仿宋" w:cs="仿宋"/>
          <w:b w:val="0"/>
          <w:color w:val="auto"/>
          <w:kern w:val="2"/>
          <w:sz w:val="24"/>
          <w:szCs w:val="24"/>
          <w:lang w:val="en-US" w:eastAsia="zh-CN" w:bidi="ar-SA"/>
        </w:rPr>
        <w:t>1.投标人履约行为造成（包括但不限于）投标人人员工伤工亡及财产损失、造成采购人或第三人人身损害、财产损失或权益损失等均由投标人自行负责处理，并由投标人承担所有的经济责任和法律责任（民事责任、行政责任、刑事责任）。</w:t>
      </w:r>
      <w:bookmarkEnd w:id="143"/>
    </w:p>
    <w:p w14:paraId="522738C3">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bookmarkStart w:id="144" w:name="_Toc30875"/>
      <w:r>
        <w:rPr>
          <w:rFonts w:hint="eastAsia" w:ascii="仿宋" w:hAnsi="仿宋" w:eastAsia="仿宋" w:cs="仿宋"/>
          <w:b w:val="0"/>
          <w:color w:val="auto"/>
          <w:kern w:val="2"/>
          <w:sz w:val="24"/>
          <w:szCs w:val="24"/>
          <w:lang w:val="en-US" w:eastAsia="zh-CN" w:bidi="ar-SA"/>
        </w:rPr>
        <w:t>2.投标人履约行为导致的任何纠纷、质疑、投诉等任何争议的洽商应对及责任调查，由投标人承担。</w:t>
      </w:r>
      <w:bookmarkEnd w:id="144"/>
    </w:p>
    <w:p w14:paraId="2C3DD8A7">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bookmarkStart w:id="145" w:name="_Toc14465"/>
      <w:r>
        <w:rPr>
          <w:rFonts w:hint="eastAsia" w:ascii="仿宋" w:hAnsi="仿宋" w:eastAsia="仿宋" w:cs="仿宋"/>
          <w:b w:val="0"/>
          <w:color w:val="auto"/>
          <w:kern w:val="2"/>
          <w:sz w:val="24"/>
          <w:szCs w:val="24"/>
          <w:lang w:val="en-US" w:eastAsia="zh-CN" w:bidi="ar-SA"/>
        </w:rPr>
        <w:t>3.投标人须保证投标文件响应内容的真实性；否则，采购人有权随时解除合同。</w:t>
      </w:r>
      <w:bookmarkEnd w:id="145"/>
    </w:p>
    <w:p w14:paraId="6CB818F6">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bookmarkStart w:id="146" w:name="_Toc20732"/>
      <w:r>
        <w:rPr>
          <w:rFonts w:hint="eastAsia" w:ascii="仿宋" w:hAnsi="仿宋" w:eastAsia="仿宋" w:cs="仿宋"/>
          <w:b w:val="0"/>
          <w:color w:val="auto"/>
          <w:kern w:val="2"/>
          <w:sz w:val="24"/>
          <w:szCs w:val="24"/>
          <w:lang w:val="en-US" w:eastAsia="zh-CN" w:bidi="ar-SA"/>
        </w:rPr>
        <w:t>4.投标人未按照约定时间履行义务，采购人有权终止本合同，同时不需向投标人支付任何费用，采购人因此造成的所有损失均由采购人承担。</w:t>
      </w:r>
      <w:bookmarkEnd w:id="146"/>
    </w:p>
    <w:p w14:paraId="26EF16F6">
      <w:pPr>
        <w:keepNext w:val="0"/>
        <w:keepLines w:val="0"/>
        <w:widowControl w:val="0"/>
        <w:wordWrap w:val="0"/>
        <w:topLinePunct/>
        <w:spacing w:before="140" w:after="140" w:line="400" w:lineRule="exact"/>
        <w:ind w:firstLine="480" w:firstLineChars="200"/>
        <w:jc w:val="left"/>
        <w:outlineLvl w:val="1"/>
        <w:rPr>
          <w:rFonts w:hint="eastAsia" w:ascii="仿宋" w:hAnsi="仿宋" w:eastAsia="仿宋" w:cs="仿宋"/>
          <w:b w:val="0"/>
          <w:color w:val="auto"/>
          <w:kern w:val="2"/>
          <w:sz w:val="24"/>
          <w:szCs w:val="24"/>
          <w:lang w:val="en-US" w:eastAsia="zh-CN" w:bidi="ar-SA"/>
        </w:rPr>
      </w:pPr>
      <w:bookmarkStart w:id="147" w:name="_Toc29914"/>
      <w:bookmarkStart w:id="148" w:name="_Toc8051"/>
      <w:r>
        <w:rPr>
          <w:rFonts w:hint="eastAsia" w:ascii="仿宋" w:hAnsi="仿宋" w:eastAsia="仿宋" w:cs="仿宋"/>
          <w:b w:val="0"/>
          <w:color w:val="auto"/>
          <w:kern w:val="2"/>
          <w:sz w:val="24"/>
          <w:szCs w:val="24"/>
          <w:lang w:val="en-US" w:eastAsia="zh-CN" w:bidi="ar-SA"/>
        </w:rPr>
        <w:t>（二）投标人违约责任</w:t>
      </w:r>
      <w:bookmarkEnd w:id="147"/>
      <w:bookmarkEnd w:id="148"/>
    </w:p>
    <w:p w14:paraId="6710A11F">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bookmarkStart w:id="149" w:name="_Toc19207"/>
      <w:r>
        <w:rPr>
          <w:rFonts w:hint="eastAsia" w:ascii="仿宋" w:hAnsi="仿宋" w:eastAsia="仿宋" w:cs="仿宋"/>
          <w:b w:val="0"/>
          <w:color w:val="auto"/>
          <w:kern w:val="2"/>
          <w:sz w:val="24"/>
          <w:szCs w:val="24"/>
          <w:lang w:val="en-US" w:eastAsia="zh-CN" w:bidi="ar-SA"/>
        </w:rPr>
        <w:t>1.投标人未按照合同或遴选文件要求完成工作，同时未造成采购人经济损失及法律责任的，处以100元/次的处罚；若造成采购人经济损失及法律责任，由投标人承担全部经济损失及法律责任，同时采购人有权解除合同。</w:t>
      </w:r>
      <w:bookmarkEnd w:id="149"/>
    </w:p>
    <w:p w14:paraId="356723FF">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bookmarkStart w:id="150" w:name="_Toc10065"/>
      <w:r>
        <w:rPr>
          <w:rFonts w:hint="eastAsia" w:ascii="仿宋" w:hAnsi="仿宋" w:eastAsia="仿宋" w:cs="仿宋"/>
          <w:b w:val="0"/>
          <w:color w:val="auto"/>
          <w:kern w:val="2"/>
          <w:sz w:val="24"/>
          <w:szCs w:val="24"/>
          <w:lang w:val="en-US" w:eastAsia="zh-CN" w:bidi="ar-SA"/>
        </w:rPr>
        <w:t>2.因投标人原因造成采购人的重大损失或造成严重社会影响的，发生一次投标人承担造成的经济责任和法律责任，同时采购人有权解除合同并追究投标人的违约责任。</w:t>
      </w:r>
      <w:bookmarkEnd w:id="150"/>
    </w:p>
    <w:p w14:paraId="20DE0117">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bookmarkStart w:id="151" w:name="_Toc18831"/>
      <w:r>
        <w:rPr>
          <w:rFonts w:hint="eastAsia" w:ascii="仿宋" w:hAnsi="仿宋" w:eastAsia="仿宋" w:cs="仿宋"/>
          <w:b w:val="0"/>
          <w:color w:val="auto"/>
          <w:kern w:val="2"/>
          <w:sz w:val="24"/>
          <w:szCs w:val="24"/>
          <w:lang w:val="en-US" w:eastAsia="zh-CN" w:bidi="ar-SA"/>
        </w:rPr>
        <w:t>3.投标人违反劳动合同，引发纠纷发生一次，投标人将按照500元/次向采购人承担违约金。同时采购人有权解除本合同。</w:t>
      </w:r>
      <w:bookmarkEnd w:id="151"/>
    </w:p>
    <w:p w14:paraId="0AE2FB25">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bookmarkStart w:id="152" w:name="_Toc247"/>
      <w:r>
        <w:rPr>
          <w:rFonts w:hint="eastAsia" w:ascii="仿宋" w:hAnsi="仿宋" w:eastAsia="仿宋" w:cs="仿宋"/>
          <w:b w:val="0"/>
          <w:color w:val="auto"/>
          <w:kern w:val="2"/>
          <w:sz w:val="24"/>
          <w:szCs w:val="24"/>
          <w:lang w:val="en-US" w:eastAsia="zh-CN" w:bidi="ar-SA"/>
        </w:rPr>
        <w:t>4.投标人违反现行国家法律法规，所有产生的法律责任及经济责任均由投标人自行承担，同时投标人按照500元/次向采购人支付违约金。</w:t>
      </w:r>
      <w:bookmarkEnd w:id="152"/>
    </w:p>
    <w:p w14:paraId="60598C18">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bookmarkStart w:id="153" w:name="_Toc30218"/>
      <w:r>
        <w:rPr>
          <w:rFonts w:hint="eastAsia" w:ascii="仿宋" w:hAnsi="仿宋" w:eastAsia="仿宋" w:cs="仿宋"/>
          <w:b w:val="0"/>
          <w:color w:val="auto"/>
          <w:kern w:val="2"/>
          <w:sz w:val="24"/>
          <w:szCs w:val="24"/>
          <w:lang w:val="en-US" w:eastAsia="zh-CN" w:bidi="ar-SA"/>
        </w:rPr>
        <w:t>5.投标人按照投标文件中配置的岗位情况提供服务人员；在规定的工作时间内保证岗位人员在岗，如发现脱岗情况，投标人按照500元/人次向采购人支付违约金，如一个月内累计发生三人次及以上脱岗情况，采购人有权解除本合同。</w:t>
      </w:r>
      <w:bookmarkEnd w:id="153"/>
    </w:p>
    <w:p w14:paraId="4FA72C08">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highlight w:val="none"/>
          <w:lang w:val="en-US" w:eastAsia="zh-CN" w:bidi="ar-SA"/>
        </w:rPr>
      </w:pPr>
      <w:bookmarkStart w:id="154" w:name="_Toc9184"/>
      <w:r>
        <w:rPr>
          <w:rFonts w:hint="eastAsia" w:ascii="仿宋" w:hAnsi="仿宋" w:eastAsia="仿宋" w:cs="仿宋"/>
          <w:b w:val="0"/>
          <w:color w:val="auto"/>
          <w:kern w:val="2"/>
          <w:sz w:val="24"/>
          <w:szCs w:val="24"/>
          <w:highlight w:val="none"/>
          <w:lang w:val="en-US" w:eastAsia="zh-CN" w:bidi="ar-SA"/>
        </w:rPr>
        <w:t>6.采购人每月一次对维保单位履行合同情况进行考核，以确保合同的正常执行和采购人消防设施设备正常运行。同时，投标人必须对发现的消防设施设备故障、隐患及时进行报告采购人、不得隐瞒并负责实施整改。如发现整改不及时及隐瞒不报、出示虚假报告等造成严重后果，采购人有权单方面终止和解除合同。</w:t>
      </w:r>
      <w:bookmarkEnd w:id="154"/>
    </w:p>
    <w:bookmarkEnd w:id="79"/>
    <w:bookmarkEnd w:id="80"/>
    <w:bookmarkEnd w:id="81"/>
    <w:bookmarkEnd w:id="82"/>
    <w:bookmarkEnd w:id="83"/>
    <w:bookmarkEnd w:id="84"/>
    <w:bookmarkEnd w:id="85"/>
    <w:p w14:paraId="2C1BC0C1">
      <w:pPr>
        <w:spacing w:line="360" w:lineRule="auto"/>
        <w:outlineLvl w:val="9"/>
        <w:rPr>
          <w:rFonts w:ascii="方正小标宋_GBK" w:hAnsi="方正小标宋_GBK" w:eastAsia="方正小标宋_GBK" w:cs="方正小标宋_GBK"/>
          <w:b w:val="0"/>
          <w:bCs w:val="0"/>
          <w:color w:val="auto"/>
        </w:rPr>
      </w:pPr>
      <w:r>
        <w:rPr>
          <w:rFonts w:ascii="方正小标宋_GBK" w:hAnsi="方正小标宋_GBK" w:eastAsia="方正小标宋_GBK" w:cs="方正小标宋_GBK"/>
          <w:b w:val="0"/>
          <w:bCs w:val="0"/>
          <w:color w:val="auto"/>
        </w:rPr>
        <w:br w:type="page"/>
      </w:r>
    </w:p>
    <w:p w14:paraId="7B32585A">
      <w:pPr>
        <w:pStyle w:val="2"/>
        <w:spacing w:line="360" w:lineRule="auto"/>
        <w:rPr>
          <w:rFonts w:ascii="方正小标宋_GBK" w:hAnsi="方正小标宋_GBK" w:eastAsia="方正小标宋_GBK" w:cs="方正小标宋_GBK"/>
          <w:b w:val="0"/>
          <w:bCs w:val="0"/>
        </w:rPr>
      </w:pPr>
      <w:bookmarkStart w:id="155" w:name="_Toc4974"/>
      <w:r>
        <w:rPr>
          <w:rFonts w:hint="eastAsia" w:ascii="方正小标宋_GBK" w:hAnsi="方正小标宋_GBK" w:eastAsia="方正小标宋_GBK" w:cs="方正小标宋_GBK"/>
          <w:b w:val="0"/>
          <w:bCs w:val="0"/>
        </w:rPr>
        <w:t>第四篇 资格审查及评分办法</w:t>
      </w:r>
      <w:bookmarkEnd w:id="86"/>
      <w:bookmarkEnd w:id="87"/>
      <w:bookmarkEnd w:id="155"/>
    </w:p>
    <w:p w14:paraId="48AE8E1F">
      <w:pPr>
        <w:pStyle w:val="3"/>
        <w:spacing w:line="594" w:lineRule="exact"/>
        <w:ind w:firstLine="640" w:firstLineChars="200"/>
        <w:outlineLvl w:val="0"/>
        <w:rPr>
          <w:rFonts w:ascii="方正黑体_GBK" w:hAnsi="方正黑体_GBK" w:eastAsia="方正黑体_GBK" w:cs="方正黑体_GBK"/>
          <w:sz w:val="32"/>
        </w:rPr>
      </w:pPr>
      <w:bookmarkStart w:id="156" w:name="_Toc224805700"/>
      <w:bookmarkStart w:id="157" w:name="_Toc15614"/>
      <w:r>
        <w:rPr>
          <w:rFonts w:hint="eastAsia" w:ascii="方正黑体_GBK" w:hAnsi="方正黑体_GBK" w:eastAsia="方正黑体_GBK" w:cs="方正黑体_GBK"/>
          <w:sz w:val="32"/>
        </w:rPr>
        <w:t>一、资格审查</w:t>
      </w:r>
      <w:bookmarkEnd w:id="156"/>
      <w:bookmarkEnd w:id="157"/>
    </w:p>
    <w:p w14:paraId="1FB08A63">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评审小组对响应文件中的资格证明文件进行审查。资格审查资料表如下：</w:t>
      </w:r>
    </w:p>
    <w:tbl>
      <w:tblPr>
        <w:tblStyle w:val="57"/>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1125"/>
        <w:gridCol w:w="2760"/>
        <w:gridCol w:w="4948"/>
      </w:tblGrid>
      <w:tr w14:paraId="4F015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FECC85F">
            <w:pPr>
              <w:spacing w:line="360" w:lineRule="auto"/>
              <w:jc w:val="center"/>
              <w:outlineLvl w:val="9"/>
              <w:rPr>
                <w:rFonts w:hAnsi="宋体" w:cs="宋体"/>
                <w:b/>
                <w:sz w:val="21"/>
                <w:szCs w:val="21"/>
              </w:rPr>
            </w:pPr>
            <w:r>
              <w:rPr>
                <w:rFonts w:hint="eastAsia" w:hAnsi="宋体" w:cs="宋体"/>
                <w:b/>
                <w:sz w:val="21"/>
                <w:szCs w:val="21"/>
              </w:rPr>
              <w:t>序号</w:t>
            </w:r>
          </w:p>
        </w:tc>
        <w:tc>
          <w:tcPr>
            <w:tcW w:w="3885" w:type="dxa"/>
            <w:gridSpan w:val="2"/>
            <w:vAlign w:val="center"/>
          </w:tcPr>
          <w:p w14:paraId="52048C70">
            <w:pPr>
              <w:spacing w:line="360" w:lineRule="auto"/>
              <w:jc w:val="center"/>
              <w:outlineLvl w:val="9"/>
              <w:rPr>
                <w:rFonts w:hAnsi="宋体" w:cs="宋体"/>
                <w:b/>
                <w:sz w:val="21"/>
                <w:szCs w:val="21"/>
              </w:rPr>
            </w:pPr>
            <w:r>
              <w:rPr>
                <w:rFonts w:hint="eastAsia" w:hAnsi="宋体" w:cs="宋体"/>
                <w:b/>
                <w:sz w:val="21"/>
                <w:szCs w:val="21"/>
              </w:rPr>
              <w:t>检查因素</w:t>
            </w:r>
          </w:p>
        </w:tc>
        <w:tc>
          <w:tcPr>
            <w:tcW w:w="4948" w:type="dxa"/>
            <w:vAlign w:val="center"/>
          </w:tcPr>
          <w:p w14:paraId="7C5F5EE1">
            <w:pPr>
              <w:spacing w:line="360" w:lineRule="auto"/>
              <w:jc w:val="center"/>
              <w:outlineLvl w:val="9"/>
              <w:rPr>
                <w:rFonts w:hAnsi="宋体" w:cs="宋体"/>
                <w:b/>
                <w:sz w:val="21"/>
                <w:szCs w:val="21"/>
              </w:rPr>
            </w:pPr>
            <w:r>
              <w:rPr>
                <w:rFonts w:hint="eastAsia" w:hAnsi="宋体" w:cs="宋体"/>
                <w:b/>
                <w:sz w:val="21"/>
                <w:szCs w:val="21"/>
              </w:rPr>
              <w:t>检查内容</w:t>
            </w:r>
          </w:p>
        </w:tc>
      </w:tr>
      <w:tr w14:paraId="7703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restart"/>
            <w:vAlign w:val="center"/>
          </w:tcPr>
          <w:p w14:paraId="437434E0">
            <w:pPr>
              <w:spacing w:line="360" w:lineRule="auto"/>
              <w:jc w:val="center"/>
              <w:outlineLvl w:val="9"/>
              <w:rPr>
                <w:rFonts w:hAnsi="宋体" w:cs="宋体"/>
                <w:sz w:val="21"/>
                <w:szCs w:val="21"/>
              </w:rPr>
            </w:pPr>
            <w:r>
              <w:rPr>
                <w:rFonts w:hint="eastAsia" w:hAnsi="宋体" w:cs="宋体"/>
                <w:sz w:val="21"/>
                <w:szCs w:val="21"/>
              </w:rPr>
              <w:t>1</w:t>
            </w:r>
          </w:p>
        </w:tc>
        <w:tc>
          <w:tcPr>
            <w:tcW w:w="1125" w:type="dxa"/>
            <w:vMerge w:val="restart"/>
            <w:vAlign w:val="center"/>
          </w:tcPr>
          <w:p w14:paraId="0DCBA0A6">
            <w:pPr>
              <w:spacing w:line="360" w:lineRule="auto"/>
              <w:outlineLvl w:val="9"/>
              <w:rPr>
                <w:rFonts w:hAnsi="宋体" w:cs="宋体"/>
                <w:sz w:val="21"/>
                <w:szCs w:val="21"/>
                <w:lang w:val="zh-CN"/>
              </w:rPr>
            </w:pPr>
            <w:r>
              <w:rPr>
                <w:rFonts w:hint="eastAsia" w:hAnsi="宋体" w:cs="宋体"/>
                <w:sz w:val="21"/>
                <w:szCs w:val="21"/>
                <w:lang w:val="zh-CN"/>
              </w:rPr>
              <w:t>投标人应符合的基本资格条件</w:t>
            </w:r>
          </w:p>
        </w:tc>
        <w:tc>
          <w:tcPr>
            <w:tcW w:w="2760" w:type="dxa"/>
            <w:vAlign w:val="center"/>
          </w:tcPr>
          <w:p w14:paraId="479C0695">
            <w:pPr>
              <w:outlineLvl w:val="9"/>
              <w:rPr>
                <w:rFonts w:hAnsi="宋体" w:cs="宋体"/>
                <w:sz w:val="21"/>
                <w:szCs w:val="21"/>
              </w:rPr>
            </w:pPr>
            <w:r>
              <w:rPr>
                <w:rFonts w:hint="eastAsia" w:hAnsi="宋体" w:cs="宋体"/>
                <w:sz w:val="21"/>
                <w:szCs w:val="21"/>
              </w:rPr>
              <w:t>（1）具有独立承担民事责任的能力</w:t>
            </w:r>
          </w:p>
        </w:tc>
        <w:tc>
          <w:tcPr>
            <w:tcW w:w="4948" w:type="dxa"/>
            <w:vAlign w:val="center"/>
          </w:tcPr>
          <w:p w14:paraId="2D6E3160">
            <w:pPr>
              <w:outlineLvl w:val="9"/>
              <w:rPr>
                <w:rFonts w:hAnsi="宋体" w:cs="宋体"/>
                <w:sz w:val="21"/>
                <w:szCs w:val="21"/>
              </w:rPr>
            </w:pPr>
            <w:r>
              <w:rPr>
                <w:rFonts w:hint="eastAsia" w:hAnsi="宋体" w:cs="宋体"/>
                <w:sz w:val="21"/>
                <w:szCs w:val="21"/>
              </w:rPr>
              <w:t>投标人法人营业执照（副本）（注①）或事业单位法人证书（副本）或个体工商户营业执照或有效的自然人身份证明、组织机构代码证复印件；投标人法定代表人身份证明和法定代表人授权代表委托书。</w:t>
            </w:r>
          </w:p>
        </w:tc>
      </w:tr>
      <w:tr w14:paraId="21B0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4DF7143F">
            <w:pPr>
              <w:spacing w:line="360" w:lineRule="auto"/>
              <w:jc w:val="center"/>
              <w:outlineLvl w:val="9"/>
              <w:rPr>
                <w:rFonts w:hAnsi="宋体" w:cs="宋体"/>
                <w:sz w:val="21"/>
                <w:szCs w:val="21"/>
              </w:rPr>
            </w:pPr>
          </w:p>
        </w:tc>
        <w:tc>
          <w:tcPr>
            <w:tcW w:w="1125" w:type="dxa"/>
            <w:vMerge w:val="continue"/>
            <w:vAlign w:val="center"/>
          </w:tcPr>
          <w:p w14:paraId="5EE2AA65">
            <w:pPr>
              <w:spacing w:line="360" w:lineRule="auto"/>
              <w:outlineLvl w:val="9"/>
              <w:rPr>
                <w:rFonts w:hAnsi="宋体" w:cs="宋体"/>
                <w:sz w:val="21"/>
                <w:szCs w:val="21"/>
                <w:lang w:val="zh-CN"/>
              </w:rPr>
            </w:pPr>
          </w:p>
        </w:tc>
        <w:tc>
          <w:tcPr>
            <w:tcW w:w="2760" w:type="dxa"/>
            <w:vAlign w:val="center"/>
          </w:tcPr>
          <w:p w14:paraId="2EC0D467">
            <w:pPr>
              <w:outlineLvl w:val="9"/>
              <w:rPr>
                <w:rFonts w:hAnsi="宋体" w:cs="宋体"/>
                <w:sz w:val="21"/>
                <w:szCs w:val="21"/>
              </w:rPr>
            </w:pPr>
            <w:r>
              <w:rPr>
                <w:rFonts w:hint="eastAsia" w:hAnsi="宋体" w:cs="宋体"/>
                <w:sz w:val="21"/>
                <w:szCs w:val="21"/>
                <w:lang w:val="zh-CN"/>
              </w:rPr>
              <w:t>（2）</w:t>
            </w:r>
            <w:r>
              <w:rPr>
                <w:rFonts w:hint="eastAsia" w:hAnsi="宋体" w:cs="宋体"/>
                <w:sz w:val="21"/>
                <w:szCs w:val="21"/>
              </w:rPr>
              <w:t>具有良好的商业信誉和健全的财务会计制度</w:t>
            </w:r>
          </w:p>
        </w:tc>
        <w:tc>
          <w:tcPr>
            <w:tcW w:w="4948" w:type="dxa"/>
            <w:vMerge w:val="restart"/>
            <w:vAlign w:val="center"/>
          </w:tcPr>
          <w:p w14:paraId="3CE9CD47">
            <w:pPr>
              <w:outlineLvl w:val="9"/>
              <w:rPr>
                <w:rFonts w:hAnsi="宋体" w:cs="宋体"/>
                <w:sz w:val="21"/>
                <w:szCs w:val="21"/>
              </w:rPr>
            </w:pPr>
            <w:r>
              <w:rPr>
                <w:rFonts w:hint="eastAsia" w:hAnsi="宋体" w:cs="宋体"/>
                <w:sz w:val="21"/>
                <w:szCs w:val="21"/>
              </w:rPr>
              <w:t>投标人提供书面声明（见格式文件）；</w:t>
            </w:r>
          </w:p>
        </w:tc>
      </w:tr>
      <w:tr w14:paraId="10224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69877CE1">
            <w:pPr>
              <w:spacing w:line="360" w:lineRule="auto"/>
              <w:jc w:val="center"/>
              <w:outlineLvl w:val="9"/>
              <w:rPr>
                <w:rFonts w:hAnsi="宋体" w:cs="宋体"/>
                <w:sz w:val="21"/>
                <w:szCs w:val="21"/>
              </w:rPr>
            </w:pPr>
          </w:p>
        </w:tc>
        <w:tc>
          <w:tcPr>
            <w:tcW w:w="1125" w:type="dxa"/>
            <w:vMerge w:val="continue"/>
            <w:vAlign w:val="center"/>
          </w:tcPr>
          <w:p w14:paraId="14F362FE">
            <w:pPr>
              <w:spacing w:line="360" w:lineRule="auto"/>
              <w:outlineLvl w:val="9"/>
              <w:rPr>
                <w:rFonts w:hAnsi="宋体" w:cs="宋体"/>
                <w:sz w:val="21"/>
                <w:szCs w:val="21"/>
                <w:lang w:val="zh-CN"/>
              </w:rPr>
            </w:pPr>
          </w:p>
        </w:tc>
        <w:tc>
          <w:tcPr>
            <w:tcW w:w="2760" w:type="dxa"/>
            <w:vAlign w:val="center"/>
          </w:tcPr>
          <w:p w14:paraId="1DF906AD">
            <w:pPr>
              <w:outlineLvl w:val="9"/>
              <w:rPr>
                <w:rFonts w:hAnsi="宋体" w:cs="宋体"/>
                <w:sz w:val="21"/>
                <w:szCs w:val="21"/>
                <w:lang w:val="zh-CN"/>
              </w:rPr>
            </w:pPr>
            <w:r>
              <w:rPr>
                <w:rFonts w:hint="eastAsia" w:hAnsi="宋体" w:cs="宋体"/>
                <w:sz w:val="21"/>
                <w:szCs w:val="21"/>
                <w:lang w:val="zh-CN"/>
              </w:rPr>
              <w:t>（3）具有履行合同所必需的设备和专业技术能力</w:t>
            </w:r>
          </w:p>
        </w:tc>
        <w:tc>
          <w:tcPr>
            <w:tcW w:w="4948" w:type="dxa"/>
            <w:vMerge w:val="continue"/>
            <w:vAlign w:val="center"/>
          </w:tcPr>
          <w:p w14:paraId="7F4B80B0">
            <w:pPr>
              <w:outlineLvl w:val="9"/>
              <w:rPr>
                <w:rFonts w:hAnsi="宋体" w:cs="宋体"/>
                <w:sz w:val="21"/>
                <w:szCs w:val="21"/>
              </w:rPr>
            </w:pPr>
          </w:p>
        </w:tc>
      </w:tr>
      <w:tr w14:paraId="129A8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75C18630">
            <w:pPr>
              <w:spacing w:line="360" w:lineRule="auto"/>
              <w:jc w:val="center"/>
              <w:outlineLvl w:val="9"/>
              <w:rPr>
                <w:rFonts w:hAnsi="宋体" w:cs="宋体"/>
                <w:sz w:val="21"/>
                <w:szCs w:val="21"/>
              </w:rPr>
            </w:pPr>
          </w:p>
        </w:tc>
        <w:tc>
          <w:tcPr>
            <w:tcW w:w="1125" w:type="dxa"/>
            <w:vMerge w:val="continue"/>
            <w:vAlign w:val="center"/>
          </w:tcPr>
          <w:p w14:paraId="4121F42E">
            <w:pPr>
              <w:spacing w:line="360" w:lineRule="auto"/>
              <w:outlineLvl w:val="9"/>
              <w:rPr>
                <w:rFonts w:hAnsi="宋体" w:cs="宋体"/>
                <w:sz w:val="21"/>
                <w:szCs w:val="21"/>
                <w:lang w:val="zh-CN"/>
              </w:rPr>
            </w:pPr>
          </w:p>
        </w:tc>
        <w:tc>
          <w:tcPr>
            <w:tcW w:w="2760" w:type="dxa"/>
            <w:vAlign w:val="center"/>
          </w:tcPr>
          <w:p w14:paraId="7584C465">
            <w:pPr>
              <w:spacing w:line="360" w:lineRule="auto"/>
              <w:outlineLvl w:val="9"/>
              <w:rPr>
                <w:rFonts w:hAnsi="宋体" w:cs="宋体"/>
                <w:sz w:val="21"/>
                <w:szCs w:val="21"/>
                <w:lang w:val="zh-CN"/>
              </w:rPr>
            </w:pPr>
            <w:r>
              <w:rPr>
                <w:rFonts w:hint="eastAsia" w:hAnsi="宋体" w:cs="宋体"/>
                <w:sz w:val="21"/>
                <w:szCs w:val="21"/>
                <w:lang w:val="zh-CN"/>
              </w:rPr>
              <w:t>（4）有依法缴纳税收和社会保障金的良好记录</w:t>
            </w:r>
          </w:p>
        </w:tc>
        <w:tc>
          <w:tcPr>
            <w:tcW w:w="4948" w:type="dxa"/>
            <w:vMerge w:val="continue"/>
            <w:vAlign w:val="center"/>
          </w:tcPr>
          <w:p w14:paraId="65F0F0FF">
            <w:pPr>
              <w:outlineLvl w:val="9"/>
            </w:pPr>
          </w:p>
        </w:tc>
      </w:tr>
      <w:tr w14:paraId="04611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5360E1B4">
            <w:pPr>
              <w:spacing w:line="360" w:lineRule="auto"/>
              <w:jc w:val="center"/>
              <w:outlineLvl w:val="9"/>
              <w:rPr>
                <w:rFonts w:hAnsi="宋体" w:cs="宋体"/>
                <w:sz w:val="21"/>
                <w:szCs w:val="21"/>
              </w:rPr>
            </w:pPr>
          </w:p>
        </w:tc>
        <w:tc>
          <w:tcPr>
            <w:tcW w:w="1125" w:type="dxa"/>
            <w:vMerge w:val="continue"/>
            <w:vAlign w:val="center"/>
          </w:tcPr>
          <w:p w14:paraId="2D0096E9">
            <w:pPr>
              <w:spacing w:line="360" w:lineRule="auto"/>
              <w:outlineLvl w:val="9"/>
              <w:rPr>
                <w:rFonts w:hAnsi="宋体" w:cs="宋体"/>
                <w:sz w:val="21"/>
                <w:szCs w:val="21"/>
                <w:lang w:val="zh-CN"/>
              </w:rPr>
            </w:pPr>
          </w:p>
        </w:tc>
        <w:tc>
          <w:tcPr>
            <w:tcW w:w="2760" w:type="dxa"/>
            <w:vAlign w:val="center"/>
          </w:tcPr>
          <w:p w14:paraId="50D63BFF">
            <w:pPr>
              <w:outlineLvl w:val="9"/>
              <w:rPr>
                <w:rFonts w:hAnsi="宋体" w:cs="宋体"/>
                <w:sz w:val="21"/>
                <w:szCs w:val="21"/>
                <w:lang w:val="zh-CN"/>
              </w:rPr>
            </w:pPr>
            <w:r>
              <w:rPr>
                <w:rFonts w:hint="eastAsia" w:hAnsi="宋体" w:cs="宋体"/>
                <w:sz w:val="21"/>
                <w:szCs w:val="21"/>
              </w:rPr>
              <w:t>（5）参加采购活动前三年内，在经营活动中没有重大违法记录（注</w:t>
            </w:r>
            <w:r>
              <w:rPr>
                <w:rFonts w:hint="eastAsia"/>
                <w:sz w:val="21"/>
                <w:szCs w:val="21"/>
              </w:rPr>
              <w:fldChar w:fldCharType="begin"/>
            </w:r>
            <w:r>
              <w:rPr>
                <w:rFonts w:hint="eastAsia"/>
                <w:sz w:val="21"/>
                <w:szCs w:val="21"/>
              </w:rPr>
              <w:instrText xml:space="preserve"> eq \o\ac(○,2)</w:instrText>
            </w:r>
            <w:r>
              <w:rPr>
                <w:rFonts w:hint="eastAsia"/>
                <w:sz w:val="21"/>
                <w:szCs w:val="21"/>
              </w:rPr>
              <w:fldChar w:fldCharType="end"/>
            </w:r>
            <w:r>
              <w:rPr>
                <w:rFonts w:hint="eastAsia" w:hAnsi="宋体" w:cs="宋体"/>
                <w:sz w:val="21"/>
                <w:szCs w:val="21"/>
              </w:rPr>
              <w:t>）</w:t>
            </w:r>
          </w:p>
        </w:tc>
        <w:tc>
          <w:tcPr>
            <w:tcW w:w="4948" w:type="dxa"/>
            <w:vMerge w:val="continue"/>
            <w:vAlign w:val="center"/>
          </w:tcPr>
          <w:p w14:paraId="1E7A083A">
            <w:pPr>
              <w:outlineLvl w:val="9"/>
              <w:rPr>
                <w:rFonts w:hAnsi="宋体" w:cs="宋体"/>
                <w:sz w:val="21"/>
                <w:szCs w:val="21"/>
              </w:rPr>
            </w:pPr>
          </w:p>
        </w:tc>
      </w:tr>
      <w:tr w14:paraId="4C729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95" w:type="dxa"/>
            <w:vMerge w:val="continue"/>
            <w:vAlign w:val="center"/>
          </w:tcPr>
          <w:p w14:paraId="7B2D26FD">
            <w:pPr>
              <w:spacing w:line="360" w:lineRule="auto"/>
              <w:jc w:val="center"/>
              <w:outlineLvl w:val="9"/>
              <w:rPr>
                <w:rFonts w:hAnsi="宋体" w:cs="宋体"/>
                <w:sz w:val="21"/>
                <w:szCs w:val="21"/>
              </w:rPr>
            </w:pPr>
          </w:p>
        </w:tc>
        <w:tc>
          <w:tcPr>
            <w:tcW w:w="1125" w:type="dxa"/>
            <w:vMerge w:val="continue"/>
            <w:vAlign w:val="center"/>
          </w:tcPr>
          <w:p w14:paraId="46589A89">
            <w:pPr>
              <w:spacing w:line="360" w:lineRule="auto"/>
              <w:outlineLvl w:val="9"/>
              <w:rPr>
                <w:rFonts w:hAnsi="宋体" w:cs="宋体"/>
                <w:sz w:val="21"/>
                <w:szCs w:val="21"/>
              </w:rPr>
            </w:pPr>
          </w:p>
        </w:tc>
        <w:tc>
          <w:tcPr>
            <w:tcW w:w="2760" w:type="dxa"/>
            <w:vAlign w:val="center"/>
          </w:tcPr>
          <w:p w14:paraId="6DE456B8">
            <w:pPr>
              <w:outlineLvl w:val="9"/>
              <w:rPr>
                <w:rFonts w:hAnsi="宋体" w:cs="宋体"/>
                <w:sz w:val="21"/>
                <w:szCs w:val="21"/>
              </w:rPr>
            </w:pPr>
            <w:r>
              <w:rPr>
                <w:rFonts w:hint="eastAsia" w:hAnsi="宋体" w:cs="宋体"/>
                <w:sz w:val="21"/>
                <w:szCs w:val="21"/>
              </w:rPr>
              <w:t>（6）法律、行政法规规定的其他条件</w:t>
            </w:r>
          </w:p>
        </w:tc>
        <w:tc>
          <w:tcPr>
            <w:tcW w:w="4948" w:type="dxa"/>
            <w:vAlign w:val="center"/>
          </w:tcPr>
          <w:p w14:paraId="2B2A95EF">
            <w:pPr>
              <w:outlineLvl w:val="9"/>
              <w:rPr>
                <w:rFonts w:hAnsi="宋体" w:cs="宋体"/>
                <w:sz w:val="21"/>
                <w:szCs w:val="21"/>
              </w:rPr>
            </w:pPr>
          </w:p>
        </w:tc>
      </w:tr>
      <w:tr w14:paraId="5DF09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5EF72AB2">
            <w:pPr>
              <w:spacing w:line="360" w:lineRule="auto"/>
              <w:jc w:val="center"/>
              <w:outlineLvl w:val="9"/>
              <w:rPr>
                <w:rFonts w:hAnsi="宋体" w:cs="宋体"/>
                <w:sz w:val="21"/>
                <w:szCs w:val="21"/>
              </w:rPr>
            </w:pPr>
            <w:r>
              <w:rPr>
                <w:rFonts w:hint="eastAsia" w:hAnsi="宋体" w:cs="宋体"/>
                <w:sz w:val="21"/>
                <w:szCs w:val="21"/>
              </w:rPr>
              <w:t>2</w:t>
            </w:r>
          </w:p>
        </w:tc>
        <w:tc>
          <w:tcPr>
            <w:tcW w:w="3885" w:type="dxa"/>
            <w:gridSpan w:val="2"/>
            <w:vAlign w:val="center"/>
          </w:tcPr>
          <w:p w14:paraId="3E86EF72">
            <w:pPr>
              <w:spacing w:line="360" w:lineRule="auto"/>
              <w:outlineLvl w:val="9"/>
              <w:rPr>
                <w:rFonts w:hAnsi="宋体" w:cs="宋体"/>
                <w:sz w:val="21"/>
                <w:szCs w:val="21"/>
              </w:rPr>
            </w:pPr>
            <w:r>
              <w:rPr>
                <w:rFonts w:hint="eastAsia" w:hAnsi="宋体" w:cs="宋体"/>
                <w:sz w:val="21"/>
                <w:szCs w:val="21"/>
              </w:rPr>
              <w:t>特定资格条件</w:t>
            </w:r>
          </w:p>
        </w:tc>
        <w:tc>
          <w:tcPr>
            <w:tcW w:w="4948" w:type="dxa"/>
            <w:vAlign w:val="center"/>
          </w:tcPr>
          <w:p w14:paraId="58B9589F">
            <w:pPr>
              <w:spacing w:line="360" w:lineRule="auto"/>
              <w:outlineLvl w:val="9"/>
              <w:rPr>
                <w:rFonts w:hint="eastAsia" w:hAnsi="宋体" w:cs="宋体"/>
                <w:sz w:val="21"/>
                <w:szCs w:val="21"/>
              </w:rPr>
            </w:pPr>
            <w:r>
              <w:rPr>
                <w:rFonts w:hint="eastAsia" w:hAnsi="宋体" w:cs="宋体"/>
                <w:sz w:val="21"/>
                <w:szCs w:val="21"/>
              </w:rPr>
              <w:t>按第一篇“四、投标人资格要求 （三）本项目的特定资格要求”的要求提交（如果有）。</w:t>
            </w:r>
          </w:p>
        </w:tc>
      </w:tr>
    </w:tbl>
    <w:p w14:paraId="5C3B3240">
      <w:pPr>
        <w:snapToGrid w:val="0"/>
        <w:spacing w:line="400" w:lineRule="exact"/>
        <w:ind w:firstLine="420" w:firstLineChars="200"/>
        <w:outlineLvl w:val="9"/>
        <w:rPr>
          <w:rFonts w:hAnsi="宋体" w:cs="宋体"/>
          <w:sz w:val="21"/>
          <w:szCs w:val="21"/>
        </w:rPr>
      </w:pPr>
      <w:r>
        <w:rPr>
          <w:rFonts w:hint="eastAsia" w:hAnsi="宋体" w:cs="宋体"/>
          <w:sz w:val="21"/>
          <w:szCs w:val="21"/>
        </w:rPr>
        <w:t>注：</w:t>
      </w:r>
      <w:r>
        <w:rPr>
          <w:rFonts w:hint="eastAsia" w:hAnsi="宋体" w:cs="宋体"/>
          <w:sz w:val="21"/>
          <w:szCs w:val="21"/>
        </w:rPr>
        <w:fldChar w:fldCharType="begin"/>
      </w:r>
      <w:r>
        <w:rPr>
          <w:rFonts w:hint="eastAsia" w:hAnsi="宋体" w:cs="宋体"/>
          <w:sz w:val="21"/>
          <w:szCs w:val="21"/>
        </w:rPr>
        <w:instrText xml:space="preserve"> eq \o\ac(○,1)</w:instrText>
      </w:r>
      <w:r>
        <w:rPr>
          <w:rFonts w:hint="eastAsia" w:hAnsi="宋体" w:cs="宋体"/>
          <w:sz w:val="21"/>
          <w:szCs w:val="21"/>
        </w:rPr>
        <w:fldChar w:fldCharType="end"/>
      </w:r>
      <w:r>
        <w:rPr>
          <w:rFonts w:hint="eastAsia" w:hAnsi="宋体" w:cs="宋体"/>
          <w:sz w:val="21"/>
          <w:szCs w:val="21"/>
        </w:rPr>
        <w:t>投标人按“多证合一”登记制度办理营业执照的，税务登记证（副本）和社会保险登记证以投标人所提供的营业执照（副本）复印件为准。</w:t>
      </w:r>
    </w:p>
    <w:p w14:paraId="0AC5FF85">
      <w:pPr>
        <w:snapToGrid w:val="0"/>
        <w:spacing w:line="360" w:lineRule="auto"/>
        <w:ind w:firstLine="420" w:firstLineChars="200"/>
        <w:outlineLvl w:val="9"/>
        <w:rPr>
          <w:rFonts w:hAnsi="宋体" w:cs="宋体"/>
          <w:sz w:val="21"/>
          <w:szCs w:val="21"/>
        </w:rPr>
      </w:pPr>
      <w:r>
        <w:rPr>
          <w:rFonts w:hint="eastAsia" w:hAnsi="宋体" w:cs="宋体"/>
          <w:sz w:val="21"/>
          <w:szCs w:val="21"/>
        </w:rPr>
        <w:fldChar w:fldCharType="begin"/>
      </w:r>
      <w:r>
        <w:rPr>
          <w:rFonts w:hint="eastAsia" w:hAnsi="宋体" w:cs="宋体"/>
          <w:sz w:val="21"/>
          <w:szCs w:val="21"/>
        </w:rPr>
        <w:instrText xml:space="preserve"> eq \o\ac(○,2)</w:instrText>
      </w:r>
      <w:r>
        <w:rPr>
          <w:rFonts w:hint="eastAsia" w:hAnsi="宋体" w:cs="宋体"/>
          <w:sz w:val="21"/>
          <w:szCs w:val="21"/>
        </w:rPr>
        <w:fldChar w:fldCharType="end"/>
      </w:r>
      <w:r>
        <w:rPr>
          <w:rFonts w:hint="eastAsia" w:hAnsi="宋体" w:cs="宋体"/>
          <w:sz w:val="21"/>
          <w:szCs w:val="21"/>
        </w:rPr>
        <w:t>根据《中华人民共和国政府采购法实施条例》第十九条“参加政府采购活动前三年内，在经营活动中没有重大违法记录”中“重大违法记录”，是指投标人因违法经营受到刑事处罚或者责令停产停业、吊销许可证或者执照、较大数额罚款等行政处罚。行政处罚中“较大数额”的认定标准，由被执行人所在的省、自治区、直辖市人民政府制定，国务院有关部门规定了较大数额标准的，从其规定。</w:t>
      </w:r>
    </w:p>
    <w:p w14:paraId="35EF49B9">
      <w:pPr>
        <w:pStyle w:val="3"/>
        <w:keepNext w:val="0"/>
        <w:keepLines w:val="0"/>
        <w:spacing w:line="594" w:lineRule="exact"/>
        <w:ind w:firstLine="640" w:firstLineChars="200"/>
        <w:outlineLvl w:val="0"/>
        <w:rPr>
          <w:rFonts w:ascii="方正黑体_GBK" w:hAnsi="方正黑体_GBK" w:eastAsia="方正黑体_GBK" w:cs="方正黑体_GBK"/>
          <w:sz w:val="32"/>
        </w:rPr>
      </w:pPr>
      <w:bookmarkStart w:id="158" w:name="_Toc8660"/>
      <w:bookmarkStart w:id="159" w:name="_Toc10474389"/>
      <w:bookmarkStart w:id="160" w:name="_Toc224805701"/>
      <w:r>
        <w:rPr>
          <w:rFonts w:hint="eastAsia" w:ascii="方正黑体_GBK" w:hAnsi="方正黑体_GBK" w:eastAsia="方正黑体_GBK" w:cs="方正黑体_GBK"/>
          <w:sz w:val="32"/>
        </w:rPr>
        <w:t>二、评审方法</w:t>
      </w:r>
      <w:bookmarkEnd w:id="158"/>
      <w:bookmarkEnd w:id="159"/>
      <w:bookmarkEnd w:id="160"/>
    </w:p>
    <w:p w14:paraId="6538D555">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本项目采用综合评分法进行评审。综合评分法，是指响应文件满足遴选文件全部实质性要求且按照评审因素的量化指标评审得分最高的投标人为中标候选人的评标方法。投标人总得分为价格、技术、商务等评定因素分别按照相应权重值计算分项得分后相加，满分为100分。</w:t>
      </w:r>
    </w:p>
    <w:p w14:paraId="43A57870">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（一）符合性审查</w:t>
      </w:r>
    </w:p>
    <w:p w14:paraId="62073827">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评审小组应当对符合资格的投标人的响应文件进行符合性审查，以确定其是否满足遴选文件的实质性要求。符合性审查资料表如下：</w:t>
      </w:r>
    </w:p>
    <w:tbl>
      <w:tblPr>
        <w:tblStyle w:val="57"/>
        <w:tblW w:w="9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457"/>
        <w:gridCol w:w="1984"/>
        <w:gridCol w:w="5409"/>
      </w:tblGrid>
      <w:tr w14:paraId="4A1FB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0" w:type="dxa"/>
            <w:vAlign w:val="center"/>
          </w:tcPr>
          <w:p w14:paraId="0D567145">
            <w:pPr>
              <w:spacing w:line="360" w:lineRule="auto"/>
              <w:jc w:val="center"/>
              <w:outlineLvl w:val="9"/>
              <w:rPr>
                <w:rFonts w:hAnsi="宋体" w:cs="宋体"/>
                <w:b/>
                <w:sz w:val="21"/>
                <w:szCs w:val="21"/>
              </w:rPr>
            </w:pPr>
            <w:r>
              <w:rPr>
                <w:rFonts w:hint="eastAsia" w:hAnsi="宋体" w:cs="宋体"/>
                <w:b/>
                <w:sz w:val="21"/>
                <w:szCs w:val="21"/>
              </w:rPr>
              <w:t>序号</w:t>
            </w:r>
          </w:p>
        </w:tc>
        <w:tc>
          <w:tcPr>
            <w:tcW w:w="3441" w:type="dxa"/>
            <w:gridSpan w:val="2"/>
            <w:vAlign w:val="center"/>
          </w:tcPr>
          <w:p w14:paraId="351F06F0">
            <w:pPr>
              <w:spacing w:line="360" w:lineRule="auto"/>
              <w:jc w:val="center"/>
              <w:outlineLvl w:val="9"/>
              <w:rPr>
                <w:rFonts w:hAnsi="宋体" w:cs="宋体"/>
                <w:b/>
                <w:sz w:val="21"/>
                <w:szCs w:val="21"/>
              </w:rPr>
            </w:pPr>
            <w:r>
              <w:rPr>
                <w:rFonts w:hint="eastAsia" w:hAnsi="宋体" w:cs="宋体"/>
                <w:b/>
                <w:sz w:val="21"/>
                <w:szCs w:val="21"/>
              </w:rPr>
              <w:t>评审因素</w:t>
            </w:r>
          </w:p>
        </w:tc>
        <w:tc>
          <w:tcPr>
            <w:tcW w:w="5409" w:type="dxa"/>
            <w:vAlign w:val="center"/>
          </w:tcPr>
          <w:p w14:paraId="35E77256">
            <w:pPr>
              <w:spacing w:line="360" w:lineRule="auto"/>
              <w:jc w:val="center"/>
              <w:outlineLvl w:val="9"/>
              <w:rPr>
                <w:rFonts w:hAnsi="宋体" w:cs="宋体"/>
                <w:b/>
                <w:sz w:val="21"/>
                <w:szCs w:val="21"/>
              </w:rPr>
            </w:pPr>
            <w:r>
              <w:rPr>
                <w:rFonts w:hint="eastAsia" w:hAnsi="宋体" w:cs="宋体"/>
                <w:b/>
                <w:sz w:val="21"/>
                <w:szCs w:val="21"/>
              </w:rPr>
              <w:t>评审标准</w:t>
            </w:r>
          </w:p>
        </w:tc>
      </w:tr>
      <w:tr w14:paraId="2EA12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780" w:type="dxa"/>
            <w:vMerge w:val="restart"/>
            <w:vAlign w:val="center"/>
          </w:tcPr>
          <w:p w14:paraId="76A12D6A">
            <w:pPr>
              <w:spacing w:line="360" w:lineRule="auto"/>
              <w:jc w:val="center"/>
              <w:outlineLvl w:val="9"/>
              <w:rPr>
                <w:rFonts w:hAnsi="宋体" w:cs="宋体"/>
                <w:sz w:val="21"/>
                <w:szCs w:val="21"/>
              </w:rPr>
            </w:pPr>
            <w:r>
              <w:rPr>
                <w:rFonts w:hint="eastAsia" w:hAnsi="宋体" w:cs="宋体"/>
                <w:sz w:val="21"/>
                <w:szCs w:val="21"/>
              </w:rPr>
              <w:t>1</w:t>
            </w:r>
          </w:p>
        </w:tc>
        <w:tc>
          <w:tcPr>
            <w:tcW w:w="1457" w:type="dxa"/>
            <w:vMerge w:val="restart"/>
            <w:vAlign w:val="center"/>
          </w:tcPr>
          <w:p w14:paraId="232461A4">
            <w:pPr>
              <w:spacing w:line="360" w:lineRule="auto"/>
              <w:outlineLvl w:val="9"/>
              <w:rPr>
                <w:rFonts w:hAnsi="宋体" w:cs="宋体"/>
                <w:sz w:val="21"/>
                <w:szCs w:val="21"/>
              </w:rPr>
            </w:pPr>
            <w:r>
              <w:rPr>
                <w:rFonts w:hint="eastAsia" w:hAnsi="宋体" w:cs="宋体"/>
                <w:sz w:val="21"/>
                <w:szCs w:val="21"/>
              </w:rPr>
              <w:t>有效性审查</w:t>
            </w:r>
          </w:p>
        </w:tc>
        <w:tc>
          <w:tcPr>
            <w:tcW w:w="1984" w:type="dxa"/>
            <w:vAlign w:val="center"/>
          </w:tcPr>
          <w:p w14:paraId="619E644C">
            <w:pPr>
              <w:spacing w:line="360" w:lineRule="auto"/>
              <w:outlineLvl w:val="9"/>
              <w:rPr>
                <w:rFonts w:hAnsi="宋体" w:cs="宋体"/>
                <w:sz w:val="21"/>
                <w:szCs w:val="21"/>
              </w:rPr>
            </w:pPr>
            <w:r>
              <w:rPr>
                <w:rFonts w:hint="eastAsia" w:hAnsi="宋体" w:cs="宋体"/>
                <w:sz w:val="21"/>
                <w:szCs w:val="21"/>
              </w:rPr>
              <w:t>响应文件签署</w:t>
            </w:r>
          </w:p>
        </w:tc>
        <w:tc>
          <w:tcPr>
            <w:tcW w:w="5409" w:type="dxa"/>
            <w:vAlign w:val="center"/>
          </w:tcPr>
          <w:p w14:paraId="49B2C4D4">
            <w:pPr>
              <w:spacing w:line="360" w:lineRule="auto"/>
              <w:outlineLvl w:val="9"/>
              <w:rPr>
                <w:rFonts w:hAnsi="宋体" w:cs="宋体"/>
                <w:sz w:val="21"/>
                <w:szCs w:val="21"/>
              </w:rPr>
            </w:pPr>
            <w:r>
              <w:rPr>
                <w:rFonts w:hint="eastAsia" w:hAnsi="宋体" w:cs="宋体"/>
                <w:sz w:val="21"/>
                <w:szCs w:val="21"/>
              </w:rPr>
              <w:t>响应文件上法定代表人或其授权代表人的签字齐全。</w:t>
            </w:r>
          </w:p>
        </w:tc>
      </w:tr>
      <w:tr w14:paraId="421A2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80" w:type="dxa"/>
            <w:vMerge w:val="continue"/>
            <w:vAlign w:val="center"/>
          </w:tcPr>
          <w:p w14:paraId="14072BD4">
            <w:pPr>
              <w:spacing w:line="360" w:lineRule="auto"/>
              <w:jc w:val="center"/>
              <w:outlineLvl w:val="9"/>
              <w:rPr>
                <w:rFonts w:hAnsi="宋体" w:cs="宋体"/>
                <w:sz w:val="21"/>
                <w:szCs w:val="21"/>
              </w:rPr>
            </w:pPr>
          </w:p>
        </w:tc>
        <w:tc>
          <w:tcPr>
            <w:tcW w:w="1457" w:type="dxa"/>
            <w:vMerge w:val="continue"/>
            <w:vAlign w:val="center"/>
          </w:tcPr>
          <w:p w14:paraId="45EA7981">
            <w:pPr>
              <w:spacing w:line="360" w:lineRule="auto"/>
              <w:outlineLvl w:val="9"/>
              <w:rPr>
                <w:rFonts w:hAnsi="宋体" w:cs="宋体"/>
                <w:sz w:val="21"/>
                <w:szCs w:val="21"/>
              </w:rPr>
            </w:pPr>
          </w:p>
        </w:tc>
        <w:tc>
          <w:tcPr>
            <w:tcW w:w="1984" w:type="dxa"/>
            <w:vAlign w:val="center"/>
          </w:tcPr>
          <w:p w14:paraId="4F6E16C7">
            <w:pPr>
              <w:spacing w:line="360" w:lineRule="auto"/>
              <w:outlineLvl w:val="9"/>
              <w:rPr>
                <w:rFonts w:hAnsi="宋体" w:cs="宋体"/>
                <w:sz w:val="21"/>
                <w:szCs w:val="21"/>
                <w:lang w:val="zh-CN"/>
              </w:rPr>
            </w:pPr>
            <w:r>
              <w:rPr>
                <w:rFonts w:hint="eastAsia" w:hAnsi="宋体" w:cs="宋体"/>
                <w:sz w:val="21"/>
                <w:szCs w:val="21"/>
                <w:lang w:val="zh-CN"/>
              </w:rPr>
              <w:t>投标方案</w:t>
            </w:r>
          </w:p>
        </w:tc>
        <w:tc>
          <w:tcPr>
            <w:tcW w:w="5409" w:type="dxa"/>
            <w:vAlign w:val="center"/>
          </w:tcPr>
          <w:p w14:paraId="2473B459">
            <w:pPr>
              <w:spacing w:line="360" w:lineRule="auto"/>
              <w:outlineLvl w:val="9"/>
              <w:rPr>
                <w:rFonts w:hAnsi="宋体" w:cs="宋体"/>
                <w:sz w:val="21"/>
                <w:szCs w:val="21"/>
              </w:rPr>
            </w:pPr>
            <w:r>
              <w:rPr>
                <w:rFonts w:hint="eastAsia" w:hAnsi="宋体" w:cs="宋体"/>
                <w:sz w:val="21"/>
                <w:szCs w:val="21"/>
                <w:lang w:val="zh-CN"/>
              </w:rPr>
              <w:t>只能有一个方案投标。</w:t>
            </w:r>
          </w:p>
        </w:tc>
      </w:tr>
      <w:tr w14:paraId="55F10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80" w:type="dxa"/>
            <w:vMerge w:val="continue"/>
            <w:vAlign w:val="center"/>
          </w:tcPr>
          <w:p w14:paraId="1EBEA8D0">
            <w:pPr>
              <w:spacing w:line="360" w:lineRule="auto"/>
              <w:jc w:val="center"/>
              <w:outlineLvl w:val="9"/>
              <w:rPr>
                <w:rFonts w:hAnsi="宋体" w:cs="宋体"/>
                <w:sz w:val="21"/>
                <w:szCs w:val="21"/>
              </w:rPr>
            </w:pPr>
          </w:p>
        </w:tc>
        <w:tc>
          <w:tcPr>
            <w:tcW w:w="1457" w:type="dxa"/>
            <w:vMerge w:val="continue"/>
            <w:vAlign w:val="center"/>
          </w:tcPr>
          <w:p w14:paraId="2BEBCF27">
            <w:pPr>
              <w:spacing w:line="360" w:lineRule="auto"/>
              <w:outlineLvl w:val="9"/>
              <w:rPr>
                <w:rFonts w:hAnsi="宋体" w:cs="宋体"/>
                <w:sz w:val="21"/>
                <w:szCs w:val="21"/>
              </w:rPr>
            </w:pPr>
          </w:p>
        </w:tc>
        <w:tc>
          <w:tcPr>
            <w:tcW w:w="1984" w:type="dxa"/>
            <w:vAlign w:val="center"/>
          </w:tcPr>
          <w:p w14:paraId="0FFE9BDA">
            <w:pPr>
              <w:spacing w:line="360" w:lineRule="auto"/>
              <w:outlineLvl w:val="9"/>
              <w:rPr>
                <w:rFonts w:hAnsi="宋体" w:cs="宋体"/>
                <w:sz w:val="21"/>
                <w:szCs w:val="21"/>
                <w:lang w:val="zh-CN"/>
              </w:rPr>
            </w:pPr>
            <w:r>
              <w:rPr>
                <w:rFonts w:hint="eastAsia" w:hAnsi="宋体" w:cs="宋体"/>
                <w:sz w:val="21"/>
                <w:szCs w:val="21"/>
              </w:rPr>
              <w:t>报价唯一</w:t>
            </w:r>
          </w:p>
        </w:tc>
        <w:tc>
          <w:tcPr>
            <w:tcW w:w="5409" w:type="dxa"/>
            <w:vAlign w:val="center"/>
          </w:tcPr>
          <w:p w14:paraId="5E6B1B58">
            <w:pPr>
              <w:spacing w:line="360" w:lineRule="auto"/>
              <w:outlineLvl w:val="9"/>
              <w:rPr>
                <w:rFonts w:hAnsi="宋体" w:cs="宋体"/>
                <w:sz w:val="21"/>
                <w:szCs w:val="21"/>
              </w:rPr>
            </w:pPr>
            <w:r>
              <w:rPr>
                <w:rFonts w:hint="eastAsia" w:hAnsi="宋体" w:cs="宋体"/>
                <w:sz w:val="21"/>
                <w:szCs w:val="21"/>
                <w:lang w:val="zh-CN"/>
              </w:rPr>
              <w:t>只能在预算金额和最高限价内报价，</w:t>
            </w:r>
            <w:r>
              <w:rPr>
                <w:rFonts w:hint="eastAsia" w:hAnsi="宋体" w:cs="宋体"/>
                <w:sz w:val="21"/>
                <w:szCs w:val="21"/>
              </w:rPr>
              <w:t>只能有一个有效报价，不得提交选择性报价。</w:t>
            </w:r>
          </w:p>
        </w:tc>
      </w:tr>
      <w:tr w14:paraId="1216C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780" w:type="dxa"/>
            <w:vAlign w:val="center"/>
          </w:tcPr>
          <w:p w14:paraId="56FA1377">
            <w:pPr>
              <w:spacing w:line="360" w:lineRule="auto"/>
              <w:jc w:val="center"/>
              <w:outlineLvl w:val="9"/>
              <w:rPr>
                <w:rFonts w:hAnsi="宋体" w:cs="宋体"/>
                <w:sz w:val="21"/>
                <w:szCs w:val="21"/>
              </w:rPr>
            </w:pPr>
            <w:r>
              <w:rPr>
                <w:rFonts w:hint="eastAsia" w:hAnsi="宋体" w:cs="宋体"/>
                <w:sz w:val="21"/>
                <w:szCs w:val="21"/>
              </w:rPr>
              <w:t>2</w:t>
            </w:r>
          </w:p>
        </w:tc>
        <w:tc>
          <w:tcPr>
            <w:tcW w:w="1457" w:type="dxa"/>
            <w:vAlign w:val="center"/>
          </w:tcPr>
          <w:p w14:paraId="66F2642B">
            <w:pPr>
              <w:spacing w:line="360" w:lineRule="auto"/>
              <w:outlineLvl w:val="9"/>
              <w:rPr>
                <w:rFonts w:hAnsi="宋体" w:cs="宋体"/>
                <w:sz w:val="21"/>
                <w:szCs w:val="21"/>
              </w:rPr>
            </w:pPr>
            <w:r>
              <w:rPr>
                <w:rFonts w:hint="eastAsia" w:hAnsi="宋体" w:cs="宋体"/>
                <w:sz w:val="21"/>
                <w:szCs w:val="21"/>
              </w:rPr>
              <w:t>完整性审查</w:t>
            </w:r>
          </w:p>
        </w:tc>
        <w:tc>
          <w:tcPr>
            <w:tcW w:w="1984" w:type="dxa"/>
            <w:vAlign w:val="center"/>
          </w:tcPr>
          <w:p w14:paraId="35BC3102">
            <w:pPr>
              <w:spacing w:line="360" w:lineRule="auto"/>
              <w:outlineLvl w:val="9"/>
              <w:rPr>
                <w:rFonts w:hAnsi="宋体" w:cs="宋体"/>
                <w:sz w:val="21"/>
                <w:szCs w:val="21"/>
              </w:rPr>
            </w:pPr>
            <w:r>
              <w:rPr>
                <w:rFonts w:hint="eastAsia" w:hAnsi="宋体" w:cs="宋体"/>
                <w:sz w:val="21"/>
                <w:szCs w:val="21"/>
                <w:lang w:val="zh-CN"/>
              </w:rPr>
              <w:t>响应文件份数</w:t>
            </w:r>
          </w:p>
        </w:tc>
        <w:tc>
          <w:tcPr>
            <w:tcW w:w="5409" w:type="dxa"/>
            <w:vAlign w:val="center"/>
          </w:tcPr>
          <w:p w14:paraId="78A3FE11">
            <w:pPr>
              <w:spacing w:line="360" w:lineRule="auto"/>
              <w:outlineLvl w:val="9"/>
              <w:rPr>
                <w:rFonts w:hAnsi="宋体" w:cs="宋体"/>
                <w:sz w:val="21"/>
                <w:szCs w:val="21"/>
              </w:rPr>
            </w:pPr>
            <w:r>
              <w:rPr>
                <w:rFonts w:hint="eastAsia" w:hAnsi="宋体" w:cs="宋体"/>
                <w:sz w:val="21"/>
                <w:szCs w:val="21"/>
                <w:lang w:val="zh-CN"/>
              </w:rPr>
              <w:t>响应文件正、副本数量符合遴选文件要求。</w:t>
            </w:r>
          </w:p>
        </w:tc>
      </w:tr>
      <w:tr w14:paraId="13FB8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vAlign w:val="center"/>
          </w:tcPr>
          <w:p w14:paraId="3DD1689D">
            <w:pPr>
              <w:spacing w:line="360" w:lineRule="auto"/>
              <w:jc w:val="center"/>
              <w:outlineLvl w:val="9"/>
              <w:rPr>
                <w:rFonts w:hAnsi="宋体" w:cs="宋体"/>
                <w:sz w:val="21"/>
                <w:szCs w:val="21"/>
              </w:rPr>
            </w:pPr>
            <w:r>
              <w:rPr>
                <w:rFonts w:hint="eastAsia" w:hAnsi="宋体" w:cs="宋体"/>
                <w:sz w:val="21"/>
                <w:szCs w:val="21"/>
              </w:rPr>
              <w:t>3</w:t>
            </w:r>
          </w:p>
        </w:tc>
        <w:tc>
          <w:tcPr>
            <w:tcW w:w="1457" w:type="dxa"/>
            <w:vAlign w:val="center"/>
          </w:tcPr>
          <w:p w14:paraId="4FB1254B">
            <w:pPr>
              <w:spacing w:line="360" w:lineRule="auto"/>
              <w:outlineLvl w:val="9"/>
              <w:rPr>
                <w:rFonts w:hAnsi="宋体" w:cs="宋体"/>
                <w:sz w:val="21"/>
                <w:szCs w:val="21"/>
              </w:rPr>
            </w:pPr>
            <w:r>
              <w:rPr>
                <w:rFonts w:hint="eastAsia" w:hAnsi="宋体" w:cs="宋体"/>
                <w:sz w:val="21"/>
                <w:szCs w:val="21"/>
              </w:rPr>
              <w:t>投标有效期</w:t>
            </w:r>
          </w:p>
        </w:tc>
        <w:tc>
          <w:tcPr>
            <w:tcW w:w="1984" w:type="dxa"/>
            <w:vAlign w:val="center"/>
          </w:tcPr>
          <w:p w14:paraId="79D69940">
            <w:pPr>
              <w:spacing w:line="360" w:lineRule="auto"/>
              <w:outlineLvl w:val="9"/>
              <w:rPr>
                <w:rFonts w:hAnsi="宋体" w:cs="宋体"/>
                <w:sz w:val="21"/>
                <w:szCs w:val="21"/>
              </w:rPr>
            </w:pPr>
            <w:r>
              <w:rPr>
                <w:rFonts w:hint="eastAsia" w:hAnsi="宋体" w:cs="宋体"/>
                <w:sz w:val="21"/>
                <w:szCs w:val="21"/>
              </w:rPr>
              <w:t>响应文件内容</w:t>
            </w:r>
          </w:p>
        </w:tc>
        <w:tc>
          <w:tcPr>
            <w:tcW w:w="5409" w:type="dxa"/>
            <w:vAlign w:val="center"/>
          </w:tcPr>
          <w:p w14:paraId="780D7ABF">
            <w:pPr>
              <w:spacing w:line="360" w:lineRule="auto"/>
              <w:outlineLvl w:val="9"/>
              <w:rPr>
                <w:rFonts w:hAnsi="宋体" w:cs="宋体"/>
                <w:sz w:val="21"/>
                <w:szCs w:val="21"/>
              </w:rPr>
            </w:pPr>
            <w:r>
              <w:rPr>
                <w:rFonts w:hint="eastAsia" w:hAnsi="宋体" w:cs="宋体"/>
                <w:sz w:val="21"/>
                <w:szCs w:val="21"/>
              </w:rPr>
              <w:t>投标有效期为投标截止日期后九十天内</w:t>
            </w:r>
          </w:p>
        </w:tc>
      </w:tr>
      <w:tr w14:paraId="0A832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vAlign w:val="center"/>
          </w:tcPr>
          <w:p w14:paraId="2A964568">
            <w:pPr>
              <w:spacing w:line="360" w:lineRule="auto"/>
              <w:jc w:val="center"/>
              <w:outlineLvl w:val="9"/>
              <w:rPr>
                <w:rFonts w:hAnsi="宋体" w:cs="宋体"/>
                <w:sz w:val="21"/>
                <w:szCs w:val="21"/>
              </w:rPr>
            </w:pPr>
            <w:r>
              <w:rPr>
                <w:rFonts w:hint="eastAsia" w:hAnsi="宋体" w:cs="宋体"/>
                <w:sz w:val="21"/>
                <w:szCs w:val="21"/>
              </w:rPr>
              <w:t>4</w:t>
            </w:r>
          </w:p>
        </w:tc>
        <w:tc>
          <w:tcPr>
            <w:tcW w:w="1457" w:type="dxa"/>
            <w:vAlign w:val="center"/>
          </w:tcPr>
          <w:p w14:paraId="0C8330B5">
            <w:pPr>
              <w:spacing w:line="240" w:lineRule="exact"/>
              <w:outlineLvl w:val="9"/>
              <w:rPr>
                <w:rFonts w:hAnsi="宋体" w:cs="宋体"/>
                <w:sz w:val="21"/>
                <w:szCs w:val="21"/>
              </w:rPr>
            </w:pPr>
            <w:r>
              <w:rPr>
                <w:rFonts w:hint="eastAsia" w:hAnsi="宋体" w:cs="宋体"/>
                <w:sz w:val="21"/>
                <w:szCs w:val="21"/>
                <w:lang w:val="en-US" w:eastAsia="zh-CN"/>
              </w:rPr>
              <w:t>服务</w:t>
            </w:r>
            <w:r>
              <w:rPr>
                <w:rFonts w:hint="eastAsia" w:hAnsi="宋体" w:cs="宋体"/>
                <w:sz w:val="21"/>
                <w:szCs w:val="21"/>
              </w:rPr>
              <w:t>部分</w:t>
            </w:r>
          </w:p>
        </w:tc>
        <w:tc>
          <w:tcPr>
            <w:tcW w:w="1984" w:type="dxa"/>
            <w:vAlign w:val="center"/>
          </w:tcPr>
          <w:p w14:paraId="6ED0EDA0">
            <w:pPr>
              <w:spacing w:line="240" w:lineRule="exact"/>
              <w:outlineLvl w:val="9"/>
              <w:rPr>
                <w:rFonts w:hAnsi="宋体" w:cs="宋体"/>
                <w:sz w:val="21"/>
                <w:szCs w:val="21"/>
              </w:rPr>
            </w:pPr>
            <w:r>
              <w:rPr>
                <w:rFonts w:hint="eastAsia" w:hAnsi="宋体" w:cs="宋体"/>
                <w:sz w:val="21"/>
                <w:szCs w:val="21"/>
              </w:rPr>
              <w:t>响应文件内容</w:t>
            </w:r>
          </w:p>
        </w:tc>
        <w:tc>
          <w:tcPr>
            <w:tcW w:w="5409" w:type="dxa"/>
            <w:vAlign w:val="center"/>
          </w:tcPr>
          <w:p w14:paraId="5A6D9BDC">
            <w:pPr>
              <w:spacing w:line="240" w:lineRule="exact"/>
              <w:outlineLvl w:val="9"/>
              <w:rPr>
                <w:rFonts w:hAnsi="宋体" w:cs="宋体"/>
                <w:sz w:val="21"/>
                <w:szCs w:val="21"/>
              </w:rPr>
            </w:pPr>
            <w:r>
              <w:rPr>
                <w:rFonts w:hint="eastAsia" w:hAnsi="宋体" w:cs="宋体"/>
                <w:sz w:val="21"/>
                <w:szCs w:val="21"/>
              </w:rPr>
              <w:t>本遴选文件第二篇全部内容响应无负偏离</w:t>
            </w:r>
          </w:p>
        </w:tc>
      </w:tr>
      <w:tr w14:paraId="696F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vAlign w:val="center"/>
          </w:tcPr>
          <w:p w14:paraId="2FA52F9B">
            <w:pPr>
              <w:spacing w:line="360" w:lineRule="auto"/>
              <w:jc w:val="center"/>
              <w:outlineLvl w:val="9"/>
              <w:rPr>
                <w:rFonts w:hAnsi="宋体" w:cs="宋体"/>
                <w:sz w:val="21"/>
                <w:szCs w:val="21"/>
              </w:rPr>
            </w:pPr>
            <w:r>
              <w:rPr>
                <w:rFonts w:hint="eastAsia" w:hAnsi="宋体" w:cs="宋体"/>
                <w:sz w:val="21"/>
                <w:szCs w:val="21"/>
              </w:rPr>
              <w:t>5</w:t>
            </w:r>
          </w:p>
        </w:tc>
        <w:tc>
          <w:tcPr>
            <w:tcW w:w="1457" w:type="dxa"/>
            <w:vAlign w:val="center"/>
          </w:tcPr>
          <w:p w14:paraId="16F071F6">
            <w:pPr>
              <w:spacing w:line="240" w:lineRule="exact"/>
              <w:outlineLvl w:val="9"/>
              <w:rPr>
                <w:rFonts w:hAnsi="宋体" w:cs="宋体"/>
                <w:sz w:val="21"/>
                <w:szCs w:val="21"/>
              </w:rPr>
            </w:pPr>
            <w:r>
              <w:rPr>
                <w:rFonts w:hint="eastAsia" w:hAnsi="宋体" w:cs="宋体"/>
                <w:sz w:val="21"/>
                <w:szCs w:val="21"/>
              </w:rPr>
              <w:t>商务部分</w:t>
            </w:r>
          </w:p>
        </w:tc>
        <w:tc>
          <w:tcPr>
            <w:tcW w:w="1984" w:type="dxa"/>
            <w:vAlign w:val="center"/>
          </w:tcPr>
          <w:p w14:paraId="618CF5AA">
            <w:pPr>
              <w:spacing w:line="240" w:lineRule="exact"/>
              <w:outlineLvl w:val="9"/>
              <w:rPr>
                <w:rFonts w:hAnsi="宋体" w:cs="宋体"/>
                <w:sz w:val="21"/>
                <w:szCs w:val="21"/>
              </w:rPr>
            </w:pPr>
            <w:r>
              <w:rPr>
                <w:rFonts w:hint="eastAsia" w:hAnsi="宋体" w:cs="宋体"/>
                <w:sz w:val="21"/>
                <w:szCs w:val="21"/>
              </w:rPr>
              <w:t>响应文件内容</w:t>
            </w:r>
          </w:p>
        </w:tc>
        <w:tc>
          <w:tcPr>
            <w:tcW w:w="5409" w:type="dxa"/>
            <w:vAlign w:val="center"/>
          </w:tcPr>
          <w:p w14:paraId="0ED79FC0">
            <w:pPr>
              <w:spacing w:line="240" w:lineRule="exact"/>
              <w:outlineLvl w:val="9"/>
              <w:rPr>
                <w:rFonts w:hAnsi="宋体" w:cs="宋体"/>
                <w:sz w:val="21"/>
                <w:szCs w:val="21"/>
              </w:rPr>
            </w:pPr>
            <w:r>
              <w:rPr>
                <w:rFonts w:hint="eastAsia" w:hAnsi="宋体" w:cs="宋体"/>
                <w:sz w:val="21"/>
                <w:szCs w:val="21"/>
              </w:rPr>
              <w:t>本遴选文件第三篇全部内容响应无负偏离</w:t>
            </w:r>
          </w:p>
        </w:tc>
      </w:tr>
    </w:tbl>
    <w:p w14:paraId="74E2075F">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二）澄清有关问题。对响应文件中含义不明确、同类问题表述不一致或者有明显文字和计算错误的内容，评审小组可以书面形式（应当由评审小组成员签字）要求投标人作出必要澄清、说明或者纠正。投标人的澄清、说明或者补正应当采用书面形式，由其法定代表人授权代表签字，其澄清的内容不得超出响应文件的范围或者改变响应文件的实质性内容。</w:t>
      </w:r>
    </w:p>
    <w:p w14:paraId="70182EC0">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（三）比较与评价。按遴选文件中规定的评标方法和标准，对资格审查和符合性审查合格的响应文件进行商务和技术评估。</w:t>
      </w:r>
    </w:p>
    <w:p w14:paraId="5BF80A64">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评审小组各成员独立对每个有效投标人（通过资格审查、符合性审查的投标人）的响应文件进行评价、打分，然后由评审小组对各成员打分情况进行核查及复核，个别成员对同一投标人同一评分项的打分偏离较大的，应对投标人的响应文件进行再次核对，确属打分有误的，应及时进行修正。</w:t>
      </w:r>
    </w:p>
    <w:p w14:paraId="55334957">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复核后，评审小组汇总每个投标人每项评分因素的得分。</w:t>
      </w:r>
    </w:p>
    <w:p w14:paraId="0C043EF7">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（四）推荐中标候选人名单。</w:t>
      </w:r>
    </w:p>
    <w:p w14:paraId="0CF7A8FA">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bookmarkStart w:id="161" w:name="_Toc224805702"/>
      <w:r>
        <w:rPr>
          <w:rFonts w:hint="eastAsia" w:ascii="仿宋" w:hAnsi="仿宋" w:eastAsia="仿宋" w:cs="仿宋"/>
          <w:b w:val="0"/>
          <w:color w:val="auto"/>
          <w:kern w:val="2"/>
          <w:sz w:val="24"/>
          <w:szCs w:val="24"/>
          <w:lang w:val="en-US" w:eastAsia="zh-CN" w:bidi="ar-SA"/>
        </w:rPr>
        <w:t>按评审后得分由高到低的排列顺序推荐综合得分排名前三的投标人为本项目中标候选人，排名第一的为第一中标候选人；得分相同的，按投标报价由高到低顺序排列；得分且投标报价均相同的，按技术部分由高到低顺序排列。</w:t>
      </w:r>
      <w:bookmarkEnd w:id="161"/>
    </w:p>
    <w:p w14:paraId="34E4BA46">
      <w:pPr>
        <w:pStyle w:val="3"/>
        <w:keepNext w:val="0"/>
        <w:keepLines w:val="0"/>
        <w:spacing w:line="594" w:lineRule="exact"/>
        <w:ind w:firstLine="640" w:firstLineChars="200"/>
        <w:outlineLvl w:val="0"/>
        <w:rPr>
          <w:rFonts w:ascii="方正黑体_GBK" w:hAnsi="方正黑体_GBK" w:eastAsia="方正黑体_GBK" w:cs="方正黑体_GBK"/>
          <w:sz w:val="32"/>
        </w:rPr>
      </w:pPr>
      <w:bookmarkStart w:id="162" w:name="_Toc14958"/>
      <w:bookmarkStart w:id="163" w:name="_Toc224805703"/>
      <w:r>
        <w:rPr>
          <w:rFonts w:hint="eastAsia" w:ascii="方正黑体_GBK" w:hAnsi="方正黑体_GBK" w:eastAsia="方正黑体_GBK" w:cs="方正黑体_GBK"/>
          <w:sz w:val="32"/>
        </w:rPr>
        <w:t>三、评分标准</w:t>
      </w:r>
      <w:bookmarkEnd w:id="162"/>
      <w:bookmarkEnd w:id="163"/>
    </w:p>
    <w:tbl>
      <w:tblPr>
        <w:tblStyle w:val="57"/>
        <w:tblW w:w="9884"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260"/>
        <w:gridCol w:w="1048"/>
        <w:gridCol w:w="4507"/>
        <w:gridCol w:w="2377"/>
      </w:tblGrid>
      <w:tr w14:paraId="64337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2" w:type="dxa"/>
            <w:noWrap w:val="0"/>
            <w:vAlign w:val="center"/>
          </w:tcPr>
          <w:p w14:paraId="404765DC">
            <w:pPr>
              <w:spacing w:line="400" w:lineRule="exact"/>
              <w:jc w:val="center"/>
              <w:rPr>
                <w:rFonts w:hint="eastAsia" w:ascii="仿宋" w:hAnsi="仿宋" w:eastAsia="仿宋" w:cs="仿宋"/>
                <w:b/>
                <w:bCs/>
                <w:sz w:val="21"/>
                <w:szCs w:val="21"/>
              </w:rPr>
            </w:pPr>
            <w:r>
              <w:rPr>
                <w:rFonts w:hint="eastAsia" w:ascii="仿宋" w:hAnsi="仿宋" w:eastAsia="仿宋" w:cs="仿宋"/>
                <w:b/>
                <w:bCs/>
                <w:sz w:val="21"/>
                <w:szCs w:val="21"/>
              </w:rPr>
              <w:t>序号</w:t>
            </w:r>
          </w:p>
        </w:tc>
        <w:tc>
          <w:tcPr>
            <w:tcW w:w="1260" w:type="dxa"/>
            <w:noWrap w:val="0"/>
            <w:vAlign w:val="center"/>
          </w:tcPr>
          <w:p w14:paraId="7FF52045">
            <w:pPr>
              <w:spacing w:line="400" w:lineRule="exact"/>
              <w:jc w:val="center"/>
              <w:rPr>
                <w:rFonts w:hint="eastAsia" w:ascii="仿宋" w:hAnsi="仿宋" w:eastAsia="仿宋" w:cs="仿宋"/>
                <w:b/>
                <w:bCs/>
                <w:sz w:val="21"/>
                <w:szCs w:val="21"/>
              </w:rPr>
            </w:pPr>
            <w:r>
              <w:rPr>
                <w:rFonts w:hint="eastAsia" w:ascii="仿宋" w:hAnsi="仿宋" w:eastAsia="仿宋" w:cs="仿宋"/>
                <w:b/>
                <w:bCs/>
                <w:sz w:val="21"/>
                <w:szCs w:val="21"/>
              </w:rPr>
              <w:t>评分因素及权重</w:t>
            </w:r>
          </w:p>
        </w:tc>
        <w:tc>
          <w:tcPr>
            <w:tcW w:w="1048" w:type="dxa"/>
            <w:noWrap w:val="0"/>
            <w:vAlign w:val="center"/>
          </w:tcPr>
          <w:p w14:paraId="10F0C93E">
            <w:pPr>
              <w:spacing w:line="400" w:lineRule="exact"/>
              <w:jc w:val="center"/>
              <w:rPr>
                <w:rFonts w:hint="eastAsia" w:ascii="仿宋" w:hAnsi="仿宋" w:eastAsia="仿宋" w:cs="仿宋"/>
                <w:b/>
                <w:bCs/>
                <w:sz w:val="21"/>
                <w:szCs w:val="21"/>
              </w:rPr>
            </w:pPr>
            <w:r>
              <w:rPr>
                <w:rFonts w:hint="eastAsia" w:ascii="仿宋" w:hAnsi="仿宋" w:eastAsia="仿宋" w:cs="仿宋"/>
                <w:b/>
                <w:bCs/>
                <w:sz w:val="21"/>
                <w:szCs w:val="21"/>
              </w:rPr>
              <w:t>分值</w:t>
            </w:r>
          </w:p>
        </w:tc>
        <w:tc>
          <w:tcPr>
            <w:tcW w:w="4507" w:type="dxa"/>
            <w:noWrap w:val="0"/>
            <w:vAlign w:val="center"/>
          </w:tcPr>
          <w:p w14:paraId="5E71A530">
            <w:pPr>
              <w:spacing w:line="400" w:lineRule="exact"/>
              <w:ind w:firstLine="422" w:firstLineChars="200"/>
              <w:jc w:val="center"/>
              <w:rPr>
                <w:rFonts w:hint="eastAsia" w:ascii="仿宋" w:hAnsi="仿宋" w:eastAsia="仿宋" w:cs="仿宋"/>
                <w:b/>
                <w:bCs/>
                <w:sz w:val="21"/>
                <w:szCs w:val="21"/>
              </w:rPr>
            </w:pPr>
            <w:r>
              <w:rPr>
                <w:rFonts w:hint="eastAsia" w:ascii="仿宋" w:hAnsi="仿宋" w:eastAsia="仿宋" w:cs="仿宋"/>
                <w:b/>
                <w:bCs/>
                <w:sz w:val="21"/>
                <w:szCs w:val="21"/>
              </w:rPr>
              <w:t>评分标准</w:t>
            </w:r>
          </w:p>
        </w:tc>
        <w:tc>
          <w:tcPr>
            <w:tcW w:w="2377" w:type="dxa"/>
            <w:noWrap w:val="0"/>
            <w:vAlign w:val="center"/>
          </w:tcPr>
          <w:p w14:paraId="14E1645F">
            <w:pPr>
              <w:spacing w:line="400" w:lineRule="exact"/>
              <w:ind w:firstLine="422" w:firstLineChars="200"/>
              <w:jc w:val="center"/>
              <w:rPr>
                <w:rFonts w:hint="eastAsia" w:ascii="仿宋" w:hAnsi="仿宋" w:eastAsia="仿宋" w:cs="仿宋"/>
                <w:b/>
                <w:bCs/>
                <w:sz w:val="21"/>
                <w:szCs w:val="21"/>
              </w:rPr>
            </w:pPr>
            <w:r>
              <w:rPr>
                <w:rFonts w:hint="eastAsia" w:ascii="仿宋" w:hAnsi="仿宋" w:eastAsia="仿宋" w:cs="仿宋"/>
                <w:b/>
                <w:bCs/>
                <w:sz w:val="21"/>
                <w:szCs w:val="21"/>
              </w:rPr>
              <w:t>说明</w:t>
            </w:r>
          </w:p>
        </w:tc>
      </w:tr>
      <w:tr w14:paraId="76785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2" w:type="dxa"/>
            <w:noWrap w:val="0"/>
            <w:vAlign w:val="center"/>
          </w:tcPr>
          <w:p w14:paraId="309FCA6F">
            <w:pPr>
              <w:spacing w:line="400" w:lineRule="exact"/>
              <w:jc w:val="center"/>
              <w:rPr>
                <w:rFonts w:hint="eastAsia" w:ascii="仿宋" w:hAnsi="仿宋" w:eastAsia="仿宋" w:cs="仿宋"/>
                <w:sz w:val="21"/>
                <w:szCs w:val="21"/>
              </w:rPr>
            </w:pPr>
            <w:r>
              <w:rPr>
                <w:rFonts w:hint="eastAsia" w:ascii="仿宋" w:hAnsi="仿宋" w:eastAsia="仿宋" w:cs="仿宋"/>
                <w:sz w:val="21"/>
                <w:szCs w:val="21"/>
              </w:rPr>
              <w:t>1</w:t>
            </w:r>
          </w:p>
        </w:tc>
        <w:tc>
          <w:tcPr>
            <w:tcW w:w="1260" w:type="dxa"/>
            <w:noWrap w:val="0"/>
            <w:vAlign w:val="center"/>
          </w:tcPr>
          <w:p w14:paraId="0B394880">
            <w:pPr>
              <w:spacing w:line="400" w:lineRule="exact"/>
              <w:jc w:val="center"/>
              <w:rPr>
                <w:rFonts w:hint="eastAsia" w:ascii="仿宋" w:hAnsi="仿宋" w:eastAsia="仿宋" w:cs="仿宋"/>
                <w:sz w:val="21"/>
                <w:szCs w:val="21"/>
              </w:rPr>
            </w:pPr>
            <w:r>
              <w:rPr>
                <w:rFonts w:hint="eastAsia" w:ascii="仿宋" w:hAnsi="仿宋" w:eastAsia="仿宋" w:cs="仿宋"/>
                <w:sz w:val="21"/>
                <w:szCs w:val="21"/>
              </w:rPr>
              <w:t>经济部分（30%）</w:t>
            </w:r>
          </w:p>
        </w:tc>
        <w:tc>
          <w:tcPr>
            <w:tcW w:w="1048" w:type="dxa"/>
            <w:noWrap w:val="0"/>
            <w:vAlign w:val="center"/>
          </w:tcPr>
          <w:p w14:paraId="6CE7DB66">
            <w:pPr>
              <w:spacing w:line="400" w:lineRule="exact"/>
              <w:jc w:val="center"/>
              <w:rPr>
                <w:rFonts w:hint="eastAsia" w:ascii="仿宋" w:hAnsi="仿宋" w:eastAsia="仿宋" w:cs="仿宋"/>
                <w:sz w:val="21"/>
                <w:szCs w:val="21"/>
              </w:rPr>
            </w:pPr>
            <w:r>
              <w:rPr>
                <w:rFonts w:hint="eastAsia" w:ascii="仿宋" w:hAnsi="仿宋" w:eastAsia="仿宋" w:cs="仿宋"/>
                <w:sz w:val="21"/>
                <w:szCs w:val="21"/>
              </w:rPr>
              <w:t>30分</w:t>
            </w:r>
          </w:p>
        </w:tc>
        <w:tc>
          <w:tcPr>
            <w:tcW w:w="4507" w:type="dxa"/>
            <w:noWrap w:val="0"/>
            <w:vAlign w:val="center"/>
          </w:tcPr>
          <w:p w14:paraId="43305907">
            <w:pPr>
              <w:pStyle w:val="247"/>
              <w:spacing w:line="360" w:lineRule="auto"/>
              <w:ind w:firstLine="420"/>
              <w:rPr>
                <w:rFonts w:hint="eastAsia" w:ascii="仿宋" w:hAnsi="仿宋" w:eastAsia="仿宋" w:cs="仿宋"/>
                <w:sz w:val="21"/>
                <w:szCs w:val="21"/>
              </w:rPr>
            </w:pPr>
            <w:r>
              <w:rPr>
                <w:rFonts w:hint="eastAsia" w:ascii="仿宋" w:hAnsi="仿宋" w:eastAsia="仿宋" w:cs="仿宋"/>
                <w:sz w:val="21"/>
                <w:szCs w:val="21"/>
              </w:rPr>
              <w:t>有效的投标报价中的最低价为评标基准价，其价格分为满分。其他投标人的价格分统一按照下列公式计算:</w:t>
            </w:r>
          </w:p>
          <w:p w14:paraId="1E216D3B">
            <w:pPr>
              <w:pStyle w:val="247"/>
              <w:spacing w:line="360" w:lineRule="auto"/>
              <w:ind w:firstLine="420"/>
              <w:rPr>
                <w:rFonts w:hint="eastAsia" w:ascii="仿宋" w:hAnsi="仿宋" w:eastAsia="仿宋" w:cs="仿宋"/>
              </w:rPr>
            </w:pPr>
            <w:r>
              <w:rPr>
                <w:rFonts w:hint="eastAsia" w:ascii="仿宋" w:hAnsi="仿宋" w:eastAsia="仿宋" w:cs="仿宋"/>
                <w:sz w:val="21"/>
                <w:szCs w:val="21"/>
              </w:rPr>
              <w:t>投标报价得分=(评标基准价/投标报价)</w:t>
            </w:r>
            <w:r>
              <w:rPr>
                <w:rFonts w:ascii="Arial" w:hAnsi="Arial" w:eastAsia="仿宋" w:cs="Arial"/>
                <w:sz w:val="21"/>
                <w:szCs w:val="21"/>
              </w:rPr>
              <w:t>×</w:t>
            </w:r>
            <w:r>
              <w:rPr>
                <w:rFonts w:hint="eastAsia" w:ascii="仿宋" w:hAnsi="仿宋" w:eastAsia="仿宋" w:cs="仿宋"/>
                <w:sz w:val="21"/>
                <w:szCs w:val="21"/>
              </w:rPr>
              <w:t>价格权重</w:t>
            </w:r>
            <w:r>
              <w:rPr>
                <w:rFonts w:ascii="Arial" w:hAnsi="Arial" w:eastAsia="仿宋" w:cs="Arial"/>
                <w:sz w:val="21"/>
                <w:szCs w:val="21"/>
              </w:rPr>
              <w:t>×</w:t>
            </w:r>
            <w:r>
              <w:rPr>
                <w:rFonts w:hint="eastAsia" w:ascii="仿宋" w:hAnsi="仿宋" w:eastAsia="仿宋" w:cs="仿宋"/>
                <w:sz w:val="21"/>
                <w:szCs w:val="21"/>
              </w:rPr>
              <w:t>100。</w:t>
            </w:r>
          </w:p>
        </w:tc>
        <w:tc>
          <w:tcPr>
            <w:tcW w:w="2377" w:type="dxa"/>
            <w:noWrap w:val="0"/>
            <w:vAlign w:val="center"/>
          </w:tcPr>
          <w:p w14:paraId="53FAAB7C">
            <w:pPr>
              <w:spacing w:line="400" w:lineRule="exact"/>
              <w:jc w:val="left"/>
              <w:rPr>
                <w:rFonts w:hint="eastAsia" w:ascii="仿宋" w:hAnsi="仿宋" w:eastAsia="仿宋" w:cs="仿宋"/>
                <w:sz w:val="21"/>
                <w:szCs w:val="21"/>
              </w:rPr>
            </w:pPr>
            <w:r>
              <w:rPr>
                <w:rFonts w:hint="eastAsia" w:ascii="仿宋" w:hAnsi="仿宋" w:eastAsia="仿宋" w:cs="仿宋"/>
                <w:sz w:val="21"/>
                <w:szCs w:val="21"/>
              </w:rPr>
              <w:t>高于最高限价视为无效响应。</w:t>
            </w:r>
          </w:p>
        </w:tc>
      </w:tr>
      <w:tr w14:paraId="134F7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1" w:hRule="atLeast"/>
        </w:trPr>
        <w:tc>
          <w:tcPr>
            <w:tcW w:w="692" w:type="dxa"/>
            <w:vMerge w:val="restart"/>
            <w:noWrap w:val="0"/>
            <w:vAlign w:val="center"/>
          </w:tcPr>
          <w:p w14:paraId="7590761A">
            <w:pPr>
              <w:spacing w:line="400" w:lineRule="exact"/>
              <w:jc w:val="center"/>
              <w:rPr>
                <w:rFonts w:hint="eastAsia" w:ascii="仿宋" w:hAnsi="仿宋" w:eastAsia="仿宋" w:cs="仿宋"/>
                <w:sz w:val="21"/>
                <w:szCs w:val="21"/>
              </w:rPr>
            </w:pPr>
            <w:r>
              <w:rPr>
                <w:rFonts w:hint="eastAsia" w:ascii="仿宋" w:hAnsi="仿宋" w:eastAsia="仿宋" w:cs="仿宋"/>
                <w:sz w:val="21"/>
                <w:szCs w:val="21"/>
              </w:rPr>
              <w:t>2</w:t>
            </w:r>
          </w:p>
        </w:tc>
        <w:tc>
          <w:tcPr>
            <w:tcW w:w="1260" w:type="dxa"/>
            <w:vMerge w:val="restart"/>
            <w:noWrap w:val="0"/>
            <w:vAlign w:val="center"/>
          </w:tcPr>
          <w:p w14:paraId="11DDD844">
            <w:pPr>
              <w:spacing w:line="400" w:lineRule="exact"/>
              <w:jc w:val="center"/>
              <w:rPr>
                <w:rFonts w:hint="eastAsia" w:ascii="仿宋" w:hAnsi="仿宋" w:eastAsia="仿宋" w:cs="仿宋"/>
                <w:sz w:val="21"/>
                <w:szCs w:val="21"/>
              </w:rPr>
            </w:pPr>
            <w:r>
              <w:rPr>
                <w:rFonts w:hint="eastAsia" w:ascii="仿宋" w:hAnsi="仿宋" w:eastAsia="仿宋" w:cs="仿宋"/>
                <w:sz w:val="21"/>
                <w:szCs w:val="21"/>
              </w:rPr>
              <w:t>服务部分（</w:t>
            </w:r>
            <w:r>
              <w:rPr>
                <w:rFonts w:hint="eastAsia" w:ascii="仿宋" w:hAnsi="仿宋" w:eastAsia="仿宋" w:cs="仿宋"/>
                <w:sz w:val="21"/>
                <w:szCs w:val="21"/>
                <w:lang w:val="en-US" w:eastAsia="zh-CN"/>
              </w:rPr>
              <w:t>6</w:t>
            </w:r>
            <w:r>
              <w:rPr>
                <w:rFonts w:hint="eastAsia" w:ascii="仿宋" w:hAnsi="仿宋" w:eastAsia="仿宋" w:cs="仿宋"/>
                <w:sz w:val="21"/>
                <w:szCs w:val="21"/>
              </w:rPr>
              <w:t>0%）</w:t>
            </w:r>
          </w:p>
        </w:tc>
        <w:tc>
          <w:tcPr>
            <w:tcW w:w="1048" w:type="dxa"/>
            <w:vMerge w:val="restart"/>
            <w:noWrap w:val="0"/>
            <w:vAlign w:val="center"/>
          </w:tcPr>
          <w:p w14:paraId="4B1CF0FC">
            <w:pPr>
              <w:spacing w:line="400" w:lineRule="exact"/>
              <w:jc w:val="center"/>
              <w:rPr>
                <w:rFonts w:ascii="仿宋" w:hAnsi="仿宋" w:eastAsia="仿宋" w:cs="仿宋"/>
                <w:sz w:val="21"/>
                <w:szCs w:val="21"/>
              </w:rPr>
            </w:pPr>
            <w:r>
              <w:rPr>
                <w:rFonts w:hint="eastAsia" w:ascii="仿宋" w:hAnsi="仿宋" w:eastAsia="仿宋" w:cs="仿宋"/>
                <w:sz w:val="21"/>
                <w:szCs w:val="21"/>
                <w:lang w:val="en-US" w:eastAsia="zh-CN"/>
              </w:rPr>
              <w:t>6</w:t>
            </w:r>
            <w:r>
              <w:rPr>
                <w:rFonts w:hint="eastAsia" w:ascii="仿宋" w:hAnsi="仿宋" w:eastAsia="仿宋" w:cs="仿宋"/>
                <w:sz w:val="21"/>
                <w:szCs w:val="21"/>
              </w:rPr>
              <w:t>0分</w:t>
            </w:r>
          </w:p>
        </w:tc>
        <w:tc>
          <w:tcPr>
            <w:tcW w:w="4507" w:type="dxa"/>
            <w:noWrap w:val="0"/>
            <w:vAlign w:val="center"/>
          </w:tcPr>
          <w:p w14:paraId="45BB24D7">
            <w:pPr>
              <w:spacing w:line="360" w:lineRule="auto"/>
              <w:ind w:firstLine="420" w:firstLineChars="200"/>
              <w:jc w:val="left"/>
              <w:rPr>
                <w:rFonts w:ascii="仿宋" w:hAnsi="仿宋" w:eastAsia="仿宋" w:cs="仿宋"/>
                <w:sz w:val="21"/>
                <w:szCs w:val="21"/>
              </w:rPr>
            </w:pPr>
            <w:r>
              <w:rPr>
                <w:rFonts w:hint="eastAsia" w:ascii="仿宋" w:hAnsi="仿宋" w:eastAsia="仿宋" w:cs="仿宋"/>
                <w:sz w:val="21"/>
                <w:szCs w:val="21"/>
              </w:rPr>
              <w:t xml:space="preserve">维护保养技术方案  </w:t>
            </w:r>
            <w:r>
              <w:rPr>
                <w:rFonts w:hint="eastAsia" w:ascii="仿宋" w:hAnsi="仿宋" w:eastAsia="仿宋" w:cs="仿宋"/>
                <w:sz w:val="21"/>
                <w:szCs w:val="21"/>
                <w:lang w:val="en-US" w:eastAsia="zh-CN"/>
              </w:rPr>
              <w:t>11</w:t>
            </w:r>
            <w:r>
              <w:rPr>
                <w:rFonts w:hint="eastAsia" w:ascii="仿宋" w:hAnsi="仿宋" w:eastAsia="仿宋" w:cs="仿宋"/>
                <w:sz w:val="21"/>
                <w:szCs w:val="21"/>
              </w:rPr>
              <w:t>分</w:t>
            </w:r>
          </w:p>
          <w:p w14:paraId="6FCDB356">
            <w:pPr>
              <w:numPr>
                <w:ilvl w:val="0"/>
                <w:numId w:val="0"/>
              </w:num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lang w:val="en-US" w:eastAsia="zh-CN" w:bidi="ar-SA"/>
              </w:rPr>
              <w:t>1.</w:t>
            </w:r>
            <w:r>
              <w:rPr>
                <w:rFonts w:hint="eastAsia" w:ascii="仿宋" w:hAnsi="仿宋" w:eastAsia="仿宋" w:cs="仿宋"/>
                <w:sz w:val="21"/>
                <w:szCs w:val="21"/>
              </w:rPr>
              <w:t>方案包含定期测试、保养、巡检等内容，满足基本要求的，得 4-5分；</w:t>
            </w:r>
          </w:p>
          <w:p w14:paraId="7294B147">
            <w:pPr>
              <w:numPr>
                <w:ilvl w:val="0"/>
                <w:numId w:val="0"/>
              </w:num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lang w:val="en-US" w:eastAsia="zh-CN" w:bidi="ar-SA"/>
              </w:rPr>
              <w:t>2.</w:t>
            </w:r>
            <w:r>
              <w:rPr>
                <w:rFonts w:hint="eastAsia" w:ascii="仿宋" w:hAnsi="仿宋" w:eastAsia="仿宋" w:cs="仿宋"/>
                <w:sz w:val="21"/>
                <w:szCs w:val="21"/>
              </w:rPr>
              <w:t>方案科学合理，流程清晰，针对性强，能确保设备长期稳定运行的，得 6-</w:t>
            </w:r>
            <w:r>
              <w:rPr>
                <w:rFonts w:hint="eastAsia" w:ascii="仿宋" w:hAnsi="仿宋" w:eastAsia="仿宋" w:cs="仿宋"/>
                <w:sz w:val="21"/>
                <w:szCs w:val="21"/>
                <w:lang w:val="en-US" w:eastAsia="zh-CN"/>
              </w:rPr>
              <w:t>8</w:t>
            </w:r>
            <w:r>
              <w:rPr>
                <w:rFonts w:hint="eastAsia" w:ascii="仿宋" w:hAnsi="仿宋" w:eastAsia="仿宋" w:cs="仿宋"/>
                <w:sz w:val="21"/>
                <w:szCs w:val="21"/>
              </w:rPr>
              <w:t>分；</w:t>
            </w:r>
          </w:p>
          <w:p w14:paraId="1F484E42">
            <w:pPr>
              <w:numPr>
                <w:ilvl w:val="-1"/>
                <w:numId w:val="0"/>
              </w:num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3. 亮点：引入智能化/数字化运维手段（如智慧维保平台、在线监测等），或提出预防性/预测性维护策略，显著提升效率的，得 </w:t>
            </w:r>
            <w:r>
              <w:rPr>
                <w:rFonts w:hint="eastAsia" w:ascii="仿宋" w:hAnsi="仿宋" w:eastAsia="仿宋" w:cs="仿宋"/>
                <w:sz w:val="21"/>
                <w:szCs w:val="21"/>
                <w:lang w:val="en-US" w:eastAsia="zh-CN"/>
              </w:rPr>
              <w:t>9-11</w:t>
            </w:r>
            <w:r>
              <w:rPr>
                <w:rFonts w:hint="eastAsia" w:ascii="仿宋" w:hAnsi="仿宋" w:eastAsia="仿宋" w:cs="仿宋"/>
                <w:sz w:val="21"/>
                <w:szCs w:val="21"/>
              </w:rPr>
              <w:t>分。(注：无方案不得分)</w:t>
            </w:r>
          </w:p>
        </w:tc>
        <w:tc>
          <w:tcPr>
            <w:tcW w:w="2377" w:type="dxa"/>
            <w:vMerge w:val="restart"/>
            <w:noWrap w:val="0"/>
            <w:vAlign w:val="center"/>
          </w:tcPr>
          <w:p w14:paraId="5324840B">
            <w:pPr>
              <w:spacing w:line="360" w:lineRule="auto"/>
              <w:jc w:val="left"/>
              <w:rPr>
                <w:rFonts w:hint="eastAsia" w:ascii="仿宋" w:hAnsi="仿宋" w:eastAsia="仿宋" w:cs="仿宋"/>
                <w:sz w:val="21"/>
                <w:szCs w:val="21"/>
              </w:rPr>
            </w:pPr>
            <w:r>
              <w:rPr>
                <w:rFonts w:hint="eastAsia" w:ascii="仿宋" w:hAnsi="仿宋" w:eastAsia="仿宋" w:cs="仿宋"/>
                <w:sz w:val="21"/>
                <w:szCs w:val="21"/>
              </w:rPr>
              <w:t>提供方案(格式自定)</w:t>
            </w:r>
          </w:p>
          <w:p w14:paraId="5182DCE4">
            <w:pPr>
              <w:tabs>
                <w:tab w:val="left" w:pos="2260"/>
                <w:tab w:val="left" w:pos="2520"/>
              </w:tabs>
              <w:spacing w:line="360" w:lineRule="auto"/>
              <w:ind w:right="-58" w:rightChars="-17" w:firstLine="210" w:firstLineChars="100"/>
              <w:jc w:val="left"/>
              <w:rPr>
                <w:rFonts w:hint="eastAsia" w:ascii="仿宋" w:hAnsi="仿宋" w:eastAsia="仿宋" w:cs="仿宋"/>
                <w:sz w:val="21"/>
                <w:szCs w:val="21"/>
              </w:rPr>
            </w:pPr>
          </w:p>
        </w:tc>
      </w:tr>
      <w:tr w14:paraId="1AC6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vMerge w:val="continue"/>
            <w:noWrap w:val="0"/>
            <w:vAlign w:val="center"/>
          </w:tcPr>
          <w:p w14:paraId="47471805">
            <w:pPr>
              <w:spacing w:line="400" w:lineRule="exact"/>
              <w:jc w:val="center"/>
              <w:rPr>
                <w:rFonts w:hint="eastAsia" w:ascii="仿宋" w:hAnsi="仿宋" w:eastAsia="仿宋" w:cs="仿宋"/>
                <w:sz w:val="21"/>
                <w:szCs w:val="21"/>
              </w:rPr>
            </w:pPr>
          </w:p>
        </w:tc>
        <w:tc>
          <w:tcPr>
            <w:tcW w:w="1260" w:type="dxa"/>
            <w:vMerge w:val="continue"/>
            <w:noWrap w:val="0"/>
            <w:vAlign w:val="center"/>
          </w:tcPr>
          <w:p w14:paraId="3313A570">
            <w:pPr>
              <w:spacing w:line="400" w:lineRule="exact"/>
              <w:jc w:val="center"/>
              <w:rPr>
                <w:rFonts w:hint="eastAsia" w:ascii="仿宋" w:hAnsi="仿宋" w:eastAsia="仿宋" w:cs="仿宋"/>
                <w:sz w:val="21"/>
                <w:szCs w:val="21"/>
              </w:rPr>
            </w:pPr>
          </w:p>
        </w:tc>
        <w:tc>
          <w:tcPr>
            <w:tcW w:w="1048" w:type="dxa"/>
            <w:vMerge w:val="continue"/>
            <w:noWrap w:val="0"/>
            <w:vAlign w:val="center"/>
          </w:tcPr>
          <w:p w14:paraId="2CBFCB1C">
            <w:pPr>
              <w:spacing w:line="400" w:lineRule="exact"/>
              <w:jc w:val="center"/>
              <w:rPr>
                <w:rFonts w:hint="eastAsia" w:ascii="仿宋" w:hAnsi="仿宋" w:eastAsia="仿宋" w:cs="仿宋"/>
                <w:sz w:val="21"/>
                <w:szCs w:val="21"/>
              </w:rPr>
            </w:pPr>
          </w:p>
        </w:tc>
        <w:tc>
          <w:tcPr>
            <w:tcW w:w="4507" w:type="dxa"/>
            <w:noWrap w:val="0"/>
            <w:vAlign w:val="center"/>
          </w:tcPr>
          <w:p w14:paraId="7399ECD1">
            <w:pPr>
              <w:spacing w:line="360" w:lineRule="auto"/>
              <w:ind w:firstLine="420" w:firstLineChars="200"/>
              <w:jc w:val="left"/>
              <w:rPr>
                <w:rFonts w:ascii="仿宋" w:hAnsi="仿宋" w:eastAsia="仿宋" w:cs="仿宋"/>
                <w:sz w:val="21"/>
                <w:szCs w:val="21"/>
              </w:rPr>
            </w:pPr>
            <w:r>
              <w:rPr>
                <w:rFonts w:hint="eastAsia" w:ascii="仿宋" w:hAnsi="仿宋" w:eastAsia="仿宋" w:cs="仿宋"/>
                <w:sz w:val="21"/>
                <w:szCs w:val="21"/>
              </w:rPr>
              <w:t xml:space="preserve">项目风险管理与应对  </w:t>
            </w:r>
            <w:r>
              <w:rPr>
                <w:rFonts w:hint="eastAsia" w:ascii="仿宋" w:hAnsi="仿宋" w:eastAsia="仿宋" w:cs="仿宋"/>
                <w:sz w:val="21"/>
                <w:szCs w:val="21"/>
                <w:lang w:val="en-US" w:eastAsia="zh-CN"/>
              </w:rPr>
              <w:t>11</w:t>
            </w:r>
            <w:r>
              <w:rPr>
                <w:rFonts w:hint="eastAsia" w:ascii="仿宋" w:hAnsi="仿宋" w:eastAsia="仿宋" w:cs="仿宋"/>
                <w:sz w:val="21"/>
                <w:szCs w:val="21"/>
              </w:rPr>
              <w:t>分</w:t>
            </w:r>
          </w:p>
          <w:p w14:paraId="023B28ED">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1. 针对技术难题、人员变动、物资短缺等常见风险有基本应对措施，方案具备可行性的，得 4-5分；</w:t>
            </w:r>
          </w:p>
          <w:p w14:paraId="45518CDB">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2. 风险识别全面深入，应对措施具体有效，且建立了完善的风险分级管控机制的，得 6-</w:t>
            </w:r>
            <w:r>
              <w:rPr>
                <w:rFonts w:hint="eastAsia" w:ascii="仿宋" w:hAnsi="仿宋" w:eastAsia="仿宋" w:cs="仿宋"/>
                <w:sz w:val="21"/>
                <w:szCs w:val="21"/>
                <w:lang w:val="en-US" w:eastAsia="zh-CN"/>
              </w:rPr>
              <w:t>8</w:t>
            </w:r>
            <w:r>
              <w:rPr>
                <w:rFonts w:hint="eastAsia" w:ascii="仿宋" w:hAnsi="仿宋" w:eastAsia="仿宋" w:cs="仿宋"/>
                <w:sz w:val="21"/>
                <w:szCs w:val="21"/>
              </w:rPr>
              <w:t>分；</w:t>
            </w:r>
          </w:p>
          <w:p w14:paraId="0B251F54">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 xml:space="preserve">3. 提供可视化的风险矩阵分析，或承诺建立专属备品备件库、专家技术后援团等兜底机制，能有效保障业务连续性的，得 </w:t>
            </w:r>
            <w:r>
              <w:rPr>
                <w:rFonts w:hint="eastAsia" w:ascii="仿宋" w:hAnsi="仿宋" w:eastAsia="仿宋" w:cs="仿宋"/>
                <w:sz w:val="21"/>
                <w:szCs w:val="21"/>
                <w:lang w:val="en-US" w:eastAsia="zh-CN"/>
              </w:rPr>
              <w:t>9-11</w:t>
            </w:r>
            <w:r>
              <w:rPr>
                <w:rFonts w:hint="eastAsia" w:ascii="仿宋" w:hAnsi="仿宋" w:eastAsia="仿宋" w:cs="仿宋"/>
                <w:sz w:val="21"/>
                <w:szCs w:val="21"/>
              </w:rPr>
              <w:t>分。</w:t>
            </w:r>
          </w:p>
        </w:tc>
        <w:tc>
          <w:tcPr>
            <w:tcW w:w="2377" w:type="dxa"/>
            <w:vMerge w:val="continue"/>
            <w:noWrap w:val="0"/>
            <w:vAlign w:val="center"/>
          </w:tcPr>
          <w:p w14:paraId="3E370A1E">
            <w:pPr>
              <w:tabs>
                <w:tab w:val="left" w:pos="2260"/>
                <w:tab w:val="left" w:pos="2520"/>
              </w:tabs>
              <w:spacing w:line="360" w:lineRule="auto"/>
              <w:ind w:right="-58" w:rightChars="-17" w:firstLine="210" w:firstLineChars="100"/>
              <w:jc w:val="left"/>
              <w:rPr>
                <w:rFonts w:hint="eastAsia" w:ascii="仿宋" w:hAnsi="仿宋" w:eastAsia="仿宋" w:cs="仿宋"/>
                <w:sz w:val="21"/>
                <w:szCs w:val="21"/>
              </w:rPr>
            </w:pPr>
          </w:p>
        </w:tc>
      </w:tr>
      <w:tr w14:paraId="45159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vMerge w:val="continue"/>
            <w:noWrap w:val="0"/>
            <w:vAlign w:val="center"/>
          </w:tcPr>
          <w:p w14:paraId="56738BD2">
            <w:pPr>
              <w:spacing w:line="400" w:lineRule="exact"/>
              <w:jc w:val="center"/>
              <w:rPr>
                <w:rFonts w:hint="eastAsia" w:ascii="仿宋" w:hAnsi="仿宋" w:eastAsia="仿宋" w:cs="仿宋"/>
                <w:sz w:val="21"/>
                <w:szCs w:val="21"/>
              </w:rPr>
            </w:pPr>
          </w:p>
        </w:tc>
        <w:tc>
          <w:tcPr>
            <w:tcW w:w="1260" w:type="dxa"/>
            <w:vMerge w:val="continue"/>
            <w:noWrap w:val="0"/>
            <w:vAlign w:val="center"/>
          </w:tcPr>
          <w:p w14:paraId="20CF6F71">
            <w:pPr>
              <w:spacing w:line="400" w:lineRule="exact"/>
              <w:jc w:val="center"/>
              <w:rPr>
                <w:rFonts w:hint="eastAsia" w:ascii="仿宋" w:hAnsi="仿宋" w:eastAsia="仿宋" w:cs="仿宋"/>
                <w:sz w:val="21"/>
                <w:szCs w:val="21"/>
              </w:rPr>
            </w:pPr>
          </w:p>
        </w:tc>
        <w:tc>
          <w:tcPr>
            <w:tcW w:w="1048" w:type="dxa"/>
            <w:vMerge w:val="continue"/>
            <w:noWrap w:val="0"/>
            <w:vAlign w:val="center"/>
          </w:tcPr>
          <w:p w14:paraId="3615C9A4">
            <w:pPr>
              <w:spacing w:line="400" w:lineRule="exact"/>
              <w:jc w:val="center"/>
              <w:rPr>
                <w:rFonts w:hint="eastAsia" w:ascii="仿宋" w:hAnsi="仿宋" w:eastAsia="仿宋" w:cs="仿宋"/>
                <w:sz w:val="21"/>
                <w:szCs w:val="21"/>
              </w:rPr>
            </w:pPr>
          </w:p>
        </w:tc>
        <w:tc>
          <w:tcPr>
            <w:tcW w:w="4507" w:type="dxa"/>
            <w:noWrap w:val="0"/>
            <w:vAlign w:val="center"/>
          </w:tcPr>
          <w:p w14:paraId="5075DBCA">
            <w:pPr>
              <w:spacing w:line="360" w:lineRule="auto"/>
              <w:ind w:firstLine="420" w:firstLineChars="200"/>
              <w:jc w:val="left"/>
              <w:rPr>
                <w:rFonts w:ascii="仿宋" w:hAnsi="仿宋" w:eastAsia="仿宋" w:cs="仿宋"/>
                <w:sz w:val="21"/>
                <w:szCs w:val="21"/>
              </w:rPr>
            </w:pPr>
            <w:r>
              <w:rPr>
                <w:rFonts w:hint="eastAsia" w:ascii="仿宋" w:hAnsi="仿宋" w:eastAsia="仿宋" w:cs="仿宋"/>
                <w:sz w:val="21"/>
                <w:szCs w:val="21"/>
              </w:rPr>
              <w:t xml:space="preserve">质量保障措施  </w:t>
            </w:r>
            <w:r>
              <w:rPr>
                <w:rFonts w:hint="eastAsia" w:ascii="仿宋" w:hAnsi="仿宋" w:eastAsia="仿宋" w:cs="仿宋"/>
                <w:sz w:val="21"/>
                <w:szCs w:val="21"/>
                <w:lang w:val="en-US" w:eastAsia="zh-CN"/>
              </w:rPr>
              <w:t>11</w:t>
            </w:r>
            <w:r>
              <w:rPr>
                <w:rFonts w:hint="eastAsia" w:ascii="仿宋" w:hAnsi="仿宋" w:eastAsia="仿宋" w:cs="仿宋"/>
                <w:sz w:val="21"/>
                <w:szCs w:val="21"/>
              </w:rPr>
              <w:t>分</w:t>
            </w:r>
          </w:p>
          <w:p w14:paraId="5B69BE42">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1. 具备基本的质量管理制度和检查流程，满足项目质量要求的，得 4-5分；</w:t>
            </w:r>
          </w:p>
          <w:p w14:paraId="423A337C">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2. 质量管理体系健全，设有明确的量化考核指标（如响应时间、修复率等）及违约赔付机制的，得 6-</w:t>
            </w:r>
            <w:r>
              <w:rPr>
                <w:rFonts w:hint="eastAsia" w:ascii="仿宋" w:hAnsi="仿宋" w:eastAsia="仿宋" w:cs="仿宋"/>
                <w:sz w:val="21"/>
                <w:szCs w:val="21"/>
                <w:lang w:val="en-US" w:eastAsia="zh-CN"/>
              </w:rPr>
              <w:t>8</w:t>
            </w:r>
            <w:r>
              <w:rPr>
                <w:rFonts w:hint="eastAsia" w:ascii="仿宋" w:hAnsi="仿宋" w:eastAsia="仿宋" w:cs="仿宋"/>
                <w:sz w:val="21"/>
                <w:szCs w:val="21"/>
              </w:rPr>
              <w:t>分；</w:t>
            </w:r>
          </w:p>
          <w:p w14:paraId="5EBE85AA">
            <w:pPr>
              <w:spacing w:line="360" w:lineRule="auto"/>
              <w:ind w:firstLine="420" w:firstLineChars="200"/>
              <w:jc w:val="left"/>
              <w:rPr>
                <w:rFonts w:hint="eastAsia"/>
                <w:b/>
                <w:bCs/>
                <w:color w:val="060A26"/>
                <w:sz w:val="24"/>
                <w:szCs w:val="24"/>
              </w:rPr>
            </w:pPr>
            <w:r>
              <w:rPr>
                <w:rFonts w:hint="eastAsia" w:ascii="仿宋" w:hAnsi="仿宋" w:eastAsia="仿宋" w:cs="仿宋"/>
                <w:sz w:val="21"/>
                <w:szCs w:val="21"/>
              </w:rPr>
              <w:t xml:space="preserve">3. 承诺提供SLA服务级别协议，并利用数字化工具实现工单全流程透明化、可追溯管理，质量管控手段先进的，得 </w:t>
            </w:r>
            <w:r>
              <w:rPr>
                <w:rFonts w:hint="eastAsia" w:ascii="仿宋" w:hAnsi="仿宋" w:eastAsia="仿宋" w:cs="仿宋"/>
                <w:sz w:val="21"/>
                <w:szCs w:val="21"/>
                <w:lang w:val="en-US" w:eastAsia="zh-CN"/>
              </w:rPr>
              <w:t>9-11</w:t>
            </w:r>
            <w:r>
              <w:rPr>
                <w:rFonts w:hint="eastAsia" w:ascii="仿宋" w:hAnsi="仿宋" w:eastAsia="仿宋" w:cs="仿宋"/>
                <w:sz w:val="21"/>
                <w:szCs w:val="21"/>
              </w:rPr>
              <w:t>分。</w:t>
            </w:r>
          </w:p>
        </w:tc>
        <w:tc>
          <w:tcPr>
            <w:tcW w:w="2377" w:type="dxa"/>
            <w:vMerge w:val="continue"/>
            <w:noWrap w:val="0"/>
            <w:vAlign w:val="center"/>
          </w:tcPr>
          <w:p w14:paraId="4E9EEFB8">
            <w:pPr>
              <w:tabs>
                <w:tab w:val="left" w:pos="2260"/>
                <w:tab w:val="left" w:pos="2520"/>
              </w:tabs>
              <w:spacing w:line="360" w:lineRule="auto"/>
              <w:ind w:right="-58" w:rightChars="-17" w:firstLine="210" w:firstLineChars="100"/>
              <w:jc w:val="left"/>
              <w:rPr>
                <w:rFonts w:hint="eastAsia" w:ascii="仿宋" w:hAnsi="仿宋" w:eastAsia="仿宋" w:cs="仿宋"/>
                <w:sz w:val="21"/>
                <w:szCs w:val="21"/>
              </w:rPr>
            </w:pPr>
          </w:p>
        </w:tc>
      </w:tr>
      <w:tr w14:paraId="05A28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vMerge w:val="continue"/>
            <w:noWrap w:val="0"/>
            <w:vAlign w:val="center"/>
          </w:tcPr>
          <w:p w14:paraId="65FD191B">
            <w:pPr>
              <w:spacing w:line="400" w:lineRule="exact"/>
              <w:jc w:val="center"/>
              <w:rPr>
                <w:rFonts w:hint="eastAsia" w:ascii="仿宋" w:hAnsi="仿宋" w:eastAsia="仿宋" w:cs="仿宋"/>
                <w:sz w:val="21"/>
                <w:szCs w:val="21"/>
              </w:rPr>
            </w:pPr>
          </w:p>
        </w:tc>
        <w:tc>
          <w:tcPr>
            <w:tcW w:w="1260" w:type="dxa"/>
            <w:vMerge w:val="continue"/>
            <w:noWrap w:val="0"/>
            <w:vAlign w:val="center"/>
          </w:tcPr>
          <w:p w14:paraId="48A605F7">
            <w:pPr>
              <w:spacing w:line="400" w:lineRule="exact"/>
              <w:jc w:val="center"/>
              <w:rPr>
                <w:rFonts w:hint="eastAsia" w:ascii="仿宋" w:hAnsi="仿宋" w:eastAsia="仿宋" w:cs="仿宋"/>
                <w:sz w:val="21"/>
                <w:szCs w:val="21"/>
              </w:rPr>
            </w:pPr>
          </w:p>
        </w:tc>
        <w:tc>
          <w:tcPr>
            <w:tcW w:w="1048" w:type="dxa"/>
            <w:vMerge w:val="continue"/>
            <w:noWrap w:val="0"/>
            <w:vAlign w:val="center"/>
          </w:tcPr>
          <w:p w14:paraId="2A570208">
            <w:pPr>
              <w:spacing w:line="400" w:lineRule="exact"/>
              <w:jc w:val="center"/>
              <w:rPr>
                <w:rFonts w:hint="eastAsia" w:ascii="仿宋" w:hAnsi="仿宋" w:eastAsia="仿宋" w:cs="仿宋"/>
                <w:sz w:val="21"/>
                <w:szCs w:val="21"/>
              </w:rPr>
            </w:pPr>
          </w:p>
        </w:tc>
        <w:tc>
          <w:tcPr>
            <w:tcW w:w="4507" w:type="dxa"/>
            <w:noWrap w:val="0"/>
            <w:vAlign w:val="center"/>
          </w:tcPr>
          <w:p w14:paraId="62659A7C">
            <w:pPr>
              <w:spacing w:line="360" w:lineRule="auto"/>
              <w:ind w:firstLine="420" w:firstLineChars="200"/>
              <w:rPr>
                <w:rFonts w:ascii="仿宋" w:hAnsi="仿宋" w:eastAsia="仿宋" w:cs="仿宋"/>
                <w:sz w:val="21"/>
                <w:szCs w:val="21"/>
              </w:rPr>
            </w:pPr>
            <w:r>
              <w:rPr>
                <w:rFonts w:hint="eastAsia" w:ascii="仿宋" w:hAnsi="仿宋" w:eastAsia="仿宋" w:cs="仿宋"/>
                <w:sz w:val="21"/>
                <w:szCs w:val="21"/>
              </w:rPr>
              <w:t xml:space="preserve">安全保障措施 </w:t>
            </w:r>
            <w:r>
              <w:rPr>
                <w:rFonts w:hint="eastAsia" w:ascii="仿宋" w:hAnsi="仿宋" w:eastAsia="仿宋" w:cs="仿宋"/>
                <w:sz w:val="21"/>
                <w:szCs w:val="21"/>
                <w:lang w:val="en-US" w:eastAsia="zh-CN"/>
              </w:rPr>
              <w:t>11</w:t>
            </w:r>
            <w:r>
              <w:rPr>
                <w:rFonts w:hint="eastAsia" w:ascii="仿宋" w:hAnsi="仿宋" w:eastAsia="仿宋" w:cs="仿宋"/>
                <w:sz w:val="21"/>
                <w:szCs w:val="21"/>
              </w:rPr>
              <w:t>分</w:t>
            </w:r>
          </w:p>
          <w:p w14:paraId="32C60EED">
            <w:pPr>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1. 有基本的安全管理制度、人员持证上岗要求及应急预案，满足安全作业要求的，得 4-5分；</w:t>
            </w:r>
          </w:p>
          <w:p w14:paraId="192A3799">
            <w:pPr>
              <w:spacing w:line="360" w:lineRule="auto"/>
              <w:ind w:firstLine="420" w:firstLineChars="200"/>
              <w:jc w:val="center"/>
              <w:rPr>
                <w:rFonts w:hint="eastAsia" w:ascii="仿宋" w:hAnsi="仿宋" w:eastAsia="仿宋" w:cs="仿宋"/>
                <w:sz w:val="21"/>
                <w:szCs w:val="21"/>
              </w:rPr>
            </w:pPr>
            <w:r>
              <w:rPr>
                <w:rFonts w:hint="eastAsia" w:ascii="仿宋" w:hAnsi="仿宋" w:eastAsia="仿宋" w:cs="仿宋"/>
                <w:sz w:val="21"/>
                <w:szCs w:val="21"/>
              </w:rPr>
              <w:t>2. 安全措施详尽周全，有定期的安全培训、演练记录及监督检查机制的，得 6-</w:t>
            </w:r>
            <w:r>
              <w:rPr>
                <w:rFonts w:hint="eastAsia" w:ascii="仿宋" w:hAnsi="仿宋" w:eastAsia="仿宋" w:cs="仿宋"/>
                <w:sz w:val="21"/>
                <w:szCs w:val="21"/>
                <w:lang w:val="en-US" w:eastAsia="zh-CN"/>
              </w:rPr>
              <w:t>8</w:t>
            </w:r>
            <w:r>
              <w:rPr>
                <w:rFonts w:hint="eastAsia" w:ascii="仿宋" w:hAnsi="仿宋" w:eastAsia="仿宋" w:cs="仿宋"/>
                <w:sz w:val="21"/>
                <w:szCs w:val="21"/>
              </w:rPr>
              <w:t>分；</w:t>
            </w:r>
          </w:p>
          <w:p w14:paraId="0CE4F8BC">
            <w:pPr>
              <w:spacing w:line="360" w:lineRule="auto"/>
              <w:ind w:firstLine="420" w:firstLineChars="200"/>
              <w:jc w:val="center"/>
              <w:rPr>
                <w:rFonts w:hint="eastAsia" w:ascii="仿宋" w:hAnsi="仿宋" w:eastAsia="仿宋" w:cs="仿宋"/>
                <w:sz w:val="21"/>
                <w:szCs w:val="21"/>
              </w:rPr>
            </w:pPr>
            <w:r>
              <w:rPr>
                <w:rFonts w:hint="eastAsia" w:ascii="仿宋" w:hAnsi="仿宋" w:eastAsia="仿宋" w:cs="仿宋"/>
                <w:sz w:val="21"/>
                <w:szCs w:val="21"/>
              </w:rPr>
              <w:t>3. 引入技防手段规范作业行为，或为本项目购买足额的雇主责任险及第三方公众责任险，能有效转移</w:t>
            </w:r>
            <w:r>
              <w:rPr>
                <w:rFonts w:hint="eastAsia" w:ascii="仿宋" w:hAnsi="仿宋" w:eastAsia="仿宋" w:cs="仿宋"/>
                <w:sz w:val="21"/>
                <w:szCs w:val="21"/>
                <w:lang w:eastAsia="zh-CN"/>
              </w:rPr>
              <w:t>采购人</w:t>
            </w:r>
            <w:r>
              <w:rPr>
                <w:rFonts w:hint="eastAsia" w:ascii="仿宋" w:hAnsi="仿宋" w:eastAsia="仿宋" w:cs="仿宋"/>
                <w:sz w:val="21"/>
                <w:szCs w:val="21"/>
              </w:rPr>
              <w:t xml:space="preserve">风险的，得 </w:t>
            </w:r>
            <w:r>
              <w:rPr>
                <w:rFonts w:hint="eastAsia" w:ascii="仿宋" w:hAnsi="仿宋" w:eastAsia="仿宋" w:cs="仿宋"/>
                <w:sz w:val="21"/>
                <w:szCs w:val="21"/>
                <w:lang w:val="en-US" w:eastAsia="zh-CN"/>
              </w:rPr>
              <w:t>9-11</w:t>
            </w:r>
            <w:r>
              <w:rPr>
                <w:rFonts w:hint="eastAsia" w:ascii="仿宋" w:hAnsi="仿宋" w:eastAsia="仿宋" w:cs="仿宋"/>
                <w:sz w:val="21"/>
                <w:szCs w:val="21"/>
              </w:rPr>
              <w:t>分。</w:t>
            </w:r>
          </w:p>
        </w:tc>
        <w:tc>
          <w:tcPr>
            <w:tcW w:w="2377" w:type="dxa"/>
            <w:vMerge w:val="continue"/>
            <w:noWrap w:val="0"/>
            <w:vAlign w:val="center"/>
          </w:tcPr>
          <w:p w14:paraId="3B78C6F6">
            <w:pPr>
              <w:tabs>
                <w:tab w:val="left" w:pos="2260"/>
                <w:tab w:val="left" w:pos="2520"/>
              </w:tabs>
              <w:spacing w:line="360" w:lineRule="auto"/>
              <w:ind w:right="-58" w:rightChars="-17" w:firstLine="210" w:firstLineChars="100"/>
              <w:jc w:val="left"/>
              <w:rPr>
                <w:rFonts w:hint="eastAsia" w:ascii="仿宋" w:hAnsi="仿宋" w:eastAsia="仿宋" w:cs="仿宋"/>
                <w:sz w:val="21"/>
                <w:szCs w:val="21"/>
              </w:rPr>
            </w:pPr>
          </w:p>
        </w:tc>
      </w:tr>
      <w:tr w14:paraId="42D1A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vMerge w:val="continue"/>
            <w:noWrap w:val="0"/>
            <w:vAlign w:val="center"/>
          </w:tcPr>
          <w:p w14:paraId="3A1180D2">
            <w:pPr>
              <w:spacing w:line="400" w:lineRule="exact"/>
              <w:jc w:val="center"/>
              <w:rPr>
                <w:rFonts w:hint="eastAsia" w:ascii="仿宋" w:hAnsi="仿宋" w:eastAsia="仿宋" w:cs="仿宋"/>
                <w:sz w:val="21"/>
                <w:szCs w:val="21"/>
              </w:rPr>
            </w:pPr>
          </w:p>
        </w:tc>
        <w:tc>
          <w:tcPr>
            <w:tcW w:w="1260" w:type="dxa"/>
            <w:vMerge w:val="continue"/>
            <w:noWrap w:val="0"/>
            <w:vAlign w:val="center"/>
          </w:tcPr>
          <w:p w14:paraId="2022F2E9">
            <w:pPr>
              <w:spacing w:line="400" w:lineRule="exact"/>
              <w:jc w:val="center"/>
              <w:rPr>
                <w:rFonts w:hint="eastAsia" w:ascii="仿宋" w:hAnsi="仿宋" w:eastAsia="仿宋" w:cs="仿宋"/>
                <w:sz w:val="21"/>
                <w:szCs w:val="21"/>
              </w:rPr>
            </w:pPr>
          </w:p>
        </w:tc>
        <w:tc>
          <w:tcPr>
            <w:tcW w:w="1048" w:type="dxa"/>
            <w:vMerge w:val="continue"/>
            <w:noWrap w:val="0"/>
            <w:vAlign w:val="center"/>
          </w:tcPr>
          <w:p w14:paraId="3B4B19DE">
            <w:pPr>
              <w:spacing w:line="400" w:lineRule="exact"/>
              <w:jc w:val="center"/>
              <w:rPr>
                <w:rFonts w:hint="eastAsia" w:ascii="仿宋" w:hAnsi="仿宋" w:eastAsia="仿宋" w:cs="仿宋"/>
                <w:sz w:val="21"/>
                <w:szCs w:val="21"/>
              </w:rPr>
            </w:pPr>
          </w:p>
        </w:tc>
        <w:tc>
          <w:tcPr>
            <w:tcW w:w="4507" w:type="dxa"/>
            <w:noWrap w:val="0"/>
            <w:vAlign w:val="center"/>
          </w:tcPr>
          <w:p w14:paraId="2D3091FE">
            <w:pPr>
              <w:spacing w:line="360" w:lineRule="auto"/>
              <w:ind w:firstLine="420" w:firstLineChars="200"/>
              <w:jc w:val="left"/>
              <w:rPr>
                <w:rFonts w:ascii="仿宋" w:hAnsi="仿宋" w:eastAsia="仿宋" w:cs="仿宋"/>
                <w:sz w:val="21"/>
                <w:szCs w:val="21"/>
              </w:rPr>
            </w:pPr>
            <w:r>
              <w:rPr>
                <w:rFonts w:hint="eastAsia" w:ascii="仿宋" w:hAnsi="仿宋" w:eastAsia="仿宋" w:cs="仿宋"/>
                <w:sz w:val="21"/>
                <w:szCs w:val="21"/>
              </w:rPr>
              <w:t xml:space="preserve">应急维修方案 </w:t>
            </w:r>
            <w:r>
              <w:rPr>
                <w:rFonts w:hint="eastAsia" w:ascii="仿宋" w:hAnsi="仿宋" w:eastAsia="仿宋" w:cs="仿宋"/>
                <w:sz w:val="21"/>
                <w:szCs w:val="21"/>
                <w:lang w:val="en-US" w:eastAsia="zh-CN"/>
              </w:rPr>
              <w:t>10</w:t>
            </w:r>
            <w:r>
              <w:rPr>
                <w:rFonts w:hint="eastAsia" w:ascii="仿宋" w:hAnsi="仿宋" w:eastAsia="仿宋" w:cs="仿宋"/>
                <w:sz w:val="21"/>
                <w:szCs w:val="21"/>
              </w:rPr>
              <w:t>分</w:t>
            </w:r>
          </w:p>
          <w:p w14:paraId="29E9544A">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1. 有基本的应急响应流程、人员安排及联系方式，满足紧急维修需求的，得 4-5分；</w:t>
            </w:r>
          </w:p>
          <w:p w14:paraId="45A88B4C">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2. 应急预案针对性强，响应迅速，有明确的故障分级处理机制及备件保障的，得 6-</w:t>
            </w:r>
            <w:r>
              <w:rPr>
                <w:rFonts w:hint="eastAsia" w:ascii="仿宋" w:hAnsi="仿宋" w:eastAsia="仿宋" w:cs="仿宋"/>
                <w:sz w:val="21"/>
                <w:szCs w:val="21"/>
                <w:lang w:val="en-US" w:eastAsia="zh-CN"/>
              </w:rPr>
              <w:t>8</w:t>
            </w:r>
            <w:r>
              <w:rPr>
                <w:rFonts w:hint="eastAsia" w:ascii="仿宋" w:hAnsi="仿宋" w:eastAsia="仿宋" w:cs="仿宋"/>
                <w:sz w:val="21"/>
                <w:szCs w:val="21"/>
              </w:rPr>
              <w:t>分；</w:t>
            </w:r>
          </w:p>
          <w:p w14:paraId="600087D2">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 xml:space="preserve">3. 提供业务连续性计划（BCP），针对核心业务中断有临时替代方案，或承诺在极端天气、特殊时期提供驻点值守服务的，得 </w:t>
            </w:r>
            <w:r>
              <w:rPr>
                <w:rFonts w:hint="eastAsia" w:ascii="仿宋" w:hAnsi="仿宋" w:eastAsia="仿宋" w:cs="仿宋"/>
                <w:sz w:val="21"/>
                <w:szCs w:val="21"/>
                <w:lang w:val="en-US" w:eastAsia="zh-CN"/>
              </w:rPr>
              <w:t>9-10</w:t>
            </w:r>
            <w:r>
              <w:rPr>
                <w:rFonts w:hint="eastAsia" w:ascii="仿宋" w:hAnsi="仿宋" w:eastAsia="仿宋" w:cs="仿宋"/>
                <w:sz w:val="21"/>
                <w:szCs w:val="21"/>
              </w:rPr>
              <w:t>分。</w:t>
            </w:r>
          </w:p>
        </w:tc>
        <w:tc>
          <w:tcPr>
            <w:tcW w:w="2377" w:type="dxa"/>
            <w:vMerge w:val="continue"/>
            <w:noWrap w:val="0"/>
            <w:vAlign w:val="center"/>
          </w:tcPr>
          <w:p w14:paraId="4B4881F8">
            <w:pPr>
              <w:tabs>
                <w:tab w:val="left" w:pos="2260"/>
                <w:tab w:val="left" w:pos="2520"/>
              </w:tabs>
              <w:spacing w:line="360" w:lineRule="auto"/>
              <w:ind w:right="-58" w:rightChars="-17" w:firstLine="210" w:firstLineChars="100"/>
              <w:jc w:val="left"/>
              <w:rPr>
                <w:rFonts w:hint="eastAsia" w:ascii="仿宋" w:hAnsi="仿宋" w:eastAsia="仿宋" w:cs="仿宋"/>
                <w:sz w:val="21"/>
                <w:szCs w:val="21"/>
              </w:rPr>
            </w:pPr>
          </w:p>
        </w:tc>
      </w:tr>
      <w:tr w14:paraId="5199B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vMerge w:val="continue"/>
            <w:noWrap w:val="0"/>
            <w:vAlign w:val="center"/>
          </w:tcPr>
          <w:p w14:paraId="03D4CE3E">
            <w:pPr>
              <w:spacing w:line="400" w:lineRule="exact"/>
              <w:jc w:val="center"/>
              <w:rPr>
                <w:rFonts w:hint="eastAsia" w:ascii="仿宋" w:hAnsi="仿宋" w:eastAsia="仿宋" w:cs="仿宋"/>
                <w:sz w:val="21"/>
                <w:szCs w:val="21"/>
              </w:rPr>
            </w:pPr>
          </w:p>
        </w:tc>
        <w:tc>
          <w:tcPr>
            <w:tcW w:w="1260" w:type="dxa"/>
            <w:vMerge w:val="continue"/>
            <w:noWrap w:val="0"/>
            <w:vAlign w:val="center"/>
          </w:tcPr>
          <w:p w14:paraId="12679FC9">
            <w:pPr>
              <w:spacing w:line="400" w:lineRule="exact"/>
              <w:jc w:val="center"/>
              <w:rPr>
                <w:rFonts w:hint="eastAsia" w:ascii="仿宋" w:hAnsi="仿宋" w:eastAsia="仿宋" w:cs="仿宋"/>
                <w:sz w:val="21"/>
                <w:szCs w:val="21"/>
              </w:rPr>
            </w:pPr>
          </w:p>
        </w:tc>
        <w:tc>
          <w:tcPr>
            <w:tcW w:w="1048" w:type="dxa"/>
            <w:vMerge w:val="continue"/>
            <w:noWrap w:val="0"/>
            <w:vAlign w:val="center"/>
          </w:tcPr>
          <w:p w14:paraId="7A3EB87A">
            <w:pPr>
              <w:spacing w:line="400" w:lineRule="exact"/>
              <w:jc w:val="center"/>
              <w:rPr>
                <w:rFonts w:hint="eastAsia" w:ascii="仿宋" w:hAnsi="仿宋" w:eastAsia="仿宋" w:cs="仿宋"/>
                <w:sz w:val="21"/>
                <w:szCs w:val="21"/>
              </w:rPr>
            </w:pPr>
          </w:p>
        </w:tc>
        <w:tc>
          <w:tcPr>
            <w:tcW w:w="4507" w:type="dxa"/>
            <w:noWrap w:val="0"/>
            <w:vAlign w:val="center"/>
          </w:tcPr>
          <w:p w14:paraId="1D6133C0">
            <w:pPr>
              <w:spacing w:line="360" w:lineRule="auto"/>
              <w:ind w:firstLine="420" w:firstLineChars="200"/>
              <w:jc w:val="left"/>
              <w:rPr>
                <w:rFonts w:ascii="仿宋" w:hAnsi="仿宋" w:eastAsia="仿宋" w:cs="仿宋"/>
                <w:sz w:val="21"/>
                <w:szCs w:val="21"/>
              </w:rPr>
            </w:pPr>
            <w:r>
              <w:rPr>
                <w:rFonts w:hint="eastAsia" w:ascii="仿宋" w:hAnsi="仿宋" w:eastAsia="仿宋" w:cs="仿宋"/>
                <w:sz w:val="21"/>
                <w:szCs w:val="21"/>
              </w:rPr>
              <w:t xml:space="preserve">增值服务与亮点 </w:t>
            </w:r>
            <w:r>
              <w:rPr>
                <w:rFonts w:hint="eastAsia" w:ascii="仿宋" w:hAnsi="仿宋" w:eastAsia="仿宋" w:cs="仿宋"/>
                <w:sz w:val="21"/>
                <w:szCs w:val="21"/>
                <w:lang w:val="en-US" w:eastAsia="zh-CN"/>
              </w:rPr>
              <w:t>6</w:t>
            </w:r>
            <w:r>
              <w:rPr>
                <w:rFonts w:hint="eastAsia" w:ascii="仿宋" w:hAnsi="仿宋" w:eastAsia="仿宋" w:cs="仿宋"/>
                <w:sz w:val="21"/>
                <w:szCs w:val="21"/>
              </w:rPr>
              <w:t>分</w:t>
            </w:r>
          </w:p>
          <w:p w14:paraId="6C82E151">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投标人提供除上述要求外的其他增值服务，如免费能效诊断、定期专业培训、重大活动免费保障、延长质保期等：</w:t>
            </w:r>
          </w:p>
          <w:p w14:paraId="301DFF4B">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 xml:space="preserve">1. 增值服务一般，对项目的实际价值较低的，得 </w:t>
            </w:r>
            <w:r>
              <w:rPr>
                <w:rFonts w:hint="eastAsia" w:ascii="仿宋" w:hAnsi="仿宋" w:eastAsia="仿宋" w:cs="仿宋"/>
                <w:sz w:val="21"/>
                <w:szCs w:val="21"/>
                <w:lang w:val="en-US" w:eastAsia="zh-CN"/>
              </w:rPr>
              <w:t>1</w:t>
            </w:r>
            <w:r>
              <w:rPr>
                <w:rFonts w:hint="eastAsia" w:ascii="仿宋" w:hAnsi="仿宋" w:eastAsia="仿宋" w:cs="仿宋"/>
                <w:sz w:val="21"/>
                <w:szCs w:val="21"/>
              </w:rPr>
              <w:t>-</w:t>
            </w:r>
            <w:r>
              <w:rPr>
                <w:rFonts w:hint="eastAsia" w:ascii="仿宋" w:hAnsi="仿宋" w:eastAsia="仿宋" w:cs="仿宋"/>
                <w:sz w:val="21"/>
                <w:szCs w:val="21"/>
                <w:lang w:val="en-US" w:eastAsia="zh-CN"/>
              </w:rPr>
              <w:t>2</w:t>
            </w:r>
            <w:r>
              <w:rPr>
                <w:rFonts w:hint="eastAsia" w:ascii="仿宋" w:hAnsi="仿宋" w:eastAsia="仿宋" w:cs="仿宋"/>
                <w:sz w:val="21"/>
                <w:szCs w:val="21"/>
              </w:rPr>
              <w:t>分；</w:t>
            </w:r>
          </w:p>
          <w:p w14:paraId="24F649CB">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 xml:space="preserve">2. 增值服务较丰富，具备一定的实用价值，能提升项目整体服务水平的，得 </w:t>
            </w:r>
            <w:r>
              <w:rPr>
                <w:rFonts w:hint="eastAsia" w:ascii="仿宋" w:hAnsi="仿宋" w:eastAsia="仿宋" w:cs="仿宋"/>
                <w:sz w:val="21"/>
                <w:szCs w:val="21"/>
                <w:lang w:val="en-US" w:eastAsia="zh-CN"/>
              </w:rPr>
              <w:t>3</w:t>
            </w:r>
            <w:r>
              <w:rPr>
                <w:rFonts w:hint="eastAsia" w:ascii="仿宋" w:hAnsi="仿宋" w:eastAsia="仿宋" w:cs="仿宋"/>
                <w:sz w:val="21"/>
                <w:szCs w:val="21"/>
              </w:rPr>
              <w:t>-</w:t>
            </w:r>
            <w:r>
              <w:rPr>
                <w:rFonts w:hint="eastAsia" w:ascii="仿宋" w:hAnsi="仿宋" w:eastAsia="仿宋" w:cs="仿宋"/>
                <w:sz w:val="21"/>
                <w:szCs w:val="21"/>
                <w:lang w:val="en-US" w:eastAsia="zh-CN"/>
              </w:rPr>
              <w:t>4</w:t>
            </w:r>
            <w:r>
              <w:rPr>
                <w:rFonts w:hint="eastAsia" w:ascii="仿宋" w:hAnsi="仿宋" w:eastAsia="仿宋" w:cs="仿宋"/>
                <w:sz w:val="21"/>
                <w:szCs w:val="21"/>
              </w:rPr>
              <w:t>分；</w:t>
            </w:r>
          </w:p>
          <w:p w14:paraId="52B63387">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3. 增值服务丰富且极具吸引力，能显著降低</w:t>
            </w:r>
            <w:r>
              <w:rPr>
                <w:rFonts w:hint="eastAsia" w:ascii="仿宋" w:hAnsi="仿宋" w:eastAsia="仿宋" w:cs="仿宋"/>
                <w:sz w:val="21"/>
                <w:szCs w:val="21"/>
                <w:lang w:eastAsia="zh-CN"/>
              </w:rPr>
              <w:t>采购人</w:t>
            </w:r>
            <w:r>
              <w:rPr>
                <w:rFonts w:hint="eastAsia" w:ascii="仿宋" w:hAnsi="仿宋" w:eastAsia="仿宋" w:cs="仿宋"/>
                <w:sz w:val="21"/>
                <w:szCs w:val="21"/>
              </w:rPr>
              <w:t xml:space="preserve">运营成本或大幅提升管理水平的，得 </w:t>
            </w:r>
            <w:r>
              <w:rPr>
                <w:rFonts w:hint="eastAsia" w:ascii="仿宋" w:hAnsi="仿宋" w:eastAsia="仿宋" w:cs="仿宋"/>
                <w:sz w:val="21"/>
                <w:szCs w:val="21"/>
                <w:lang w:val="en-US" w:eastAsia="zh-CN"/>
              </w:rPr>
              <w:t>5-6</w:t>
            </w:r>
            <w:r>
              <w:rPr>
                <w:rFonts w:hint="eastAsia" w:ascii="仿宋" w:hAnsi="仿宋" w:eastAsia="仿宋" w:cs="仿宋"/>
                <w:sz w:val="21"/>
                <w:szCs w:val="21"/>
              </w:rPr>
              <w:t>分。</w:t>
            </w:r>
          </w:p>
          <w:p w14:paraId="79300440">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(注：无增值服务不得分)</w:t>
            </w:r>
          </w:p>
        </w:tc>
        <w:tc>
          <w:tcPr>
            <w:tcW w:w="2377" w:type="dxa"/>
            <w:vMerge w:val="continue"/>
            <w:noWrap w:val="0"/>
            <w:vAlign w:val="center"/>
          </w:tcPr>
          <w:p w14:paraId="65162356">
            <w:pPr>
              <w:tabs>
                <w:tab w:val="left" w:pos="2260"/>
                <w:tab w:val="left" w:pos="2520"/>
              </w:tabs>
              <w:spacing w:line="360" w:lineRule="auto"/>
              <w:ind w:right="-58" w:rightChars="-17" w:firstLine="210" w:firstLineChars="100"/>
              <w:jc w:val="left"/>
              <w:rPr>
                <w:rFonts w:hint="eastAsia" w:ascii="仿宋" w:hAnsi="仿宋" w:eastAsia="仿宋" w:cs="仿宋"/>
                <w:sz w:val="21"/>
                <w:szCs w:val="21"/>
              </w:rPr>
            </w:pPr>
          </w:p>
        </w:tc>
      </w:tr>
      <w:tr w14:paraId="40595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40B35CBA">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3</w:t>
            </w:r>
          </w:p>
        </w:tc>
        <w:tc>
          <w:tcPr>
            <w:tcW w:w="1260" w:type="dxa"/>
            <w:noWrap w:val="0"/>
            <w:vAlign w:val="center"/>
          </w:tcPr>
          <w:p w14:paraId="3BBE1875">
            <w:pPr>
              <w:spacing w:line="360" w:lineRule="auto"/>
              <w:jc w:val="left"/>
              <w:rPr>
                <w:rFonts w:hint="eastAsia" w:ascii="仿宋" w:hAnsi="仿宋" w:eastAsia="仿宋" w:cs="仿宋"/>
                <w:sz w:val="21"/>
                <w:szCs w:val="21"/>
              </w:rPr>
            </w:pPr>
            <w:r>
              <w:rPr>
                <w:rFonts w:hint="eastAsia" w:ascii="仿宋" w:hAnsi="仿宋" w:eastAsia="仿宋" w:cs="仿宋"/>
                <w:sz w:val="21"/>
                <w:szCs w:val="21"/>
              </w:rPr>
              <w:t>商务部分</w:t>
            </w:r>
          </w:p>
          <w:p w14:paraId="77235FEF">
            <w:pPr>
              <w:spacing w:line="360" w:lineRule="auto"/>
              <w:jc w:val="left"/>
              <w:rPr>
                <w:rFonts w:hint="eastAsia" w:ascii="仿宋" w:hAnsi="仿宋" w:eastAsia="仿宋" w:cs="仿宋"/>
                <w:sz w:val="21"/>
                <w:szCs w:val="21"/>
              </w:rPr>
            </w:pPr>
            <w:r>
              <w:rPr>
                <w:rFonts w:hint="eastAsia" w:ascii="仿宋" w:hAnsi="仿宋" w:eastAsia="仿宋" w:cs="仿宋"/>
                <w:sz w:val="21"/>
                <w:szCs w:val="21"/>
              </w:rPr>
              <w:t>（</w:t>
            </w:r>
            <w:r>
              <w:rPr>
                <w:rFonts w:hint="eastAsia" w:ascii="仿宋" w:hAnsi="仿宋" w:eastAsia="仿宋" w:cs="仿宋"/>
                <w:sz w:val="21"/>
                <w:szCs w:val="21"/>
                <w:lang w:val="en-US" w:eastAsia="zh-CN"/>
              </w:rPr>
              <w:t>1</w:t>
            </w:r>
            <w:r>
              <w:rPr>
                <w:rFonts w:hint="eastAsia" w:ascii="仿宋" w:hAnsi="仿宋" w:eastAsia="仿宋" w:cs="仿宋"/>
                <w:sz w:val="21"/>
                <w:szCs w:val="21"/>
              </w:rPr>
              <w:t>0%）</w:t>
            </w:r>
          </w:p>
        </w:tc>
        <w:tc>
          <w:tcPr>
            <w:tcW w:w="1048" w:type="dxa"/>
            <w:noWrap w:val="0"/>
            <w:vAlign w:val="center"/>
          </w:tcPr>
          <w:p w14:paraId="763B835B">
            <w:pPr>
              <w:spacing w:line="360" w:lineRule="auto"/>
              <w:jc w:val="left"/>
              <w:rPr>
                <w:rFonts w:hint="eastAsia" w:ascii="仿宋" w:hAnsi="仿宋" w:eastAsia="仿宋" w:cs="仿宋"/>
                <w:sz w:val="21"/>
                <w:szCs w:val="21"/>
              </w:rPr>
            </w:pPr>
            <w:r>
              <w:rPr>
                <w:rFonts w:hint="eastAsia" w:ascii="仿宋" w:hAnsi="仿宋" w:eastAsia="仿宋" w:cs="仿宋"/>
                <w:sz w:val="21"/>
                <w:szCs w:val="21"/>
              </w:rPr>
              <w:t>业绩（</w:t>
            </w:r>
            <w:r>
              <w:rPr>
                <w:rFonts w:hint="eastAsia" w:ascii="仿宋" w:hAnsi="仿宋" w:eastAsia="仿宋" w:cs="仿宋"/>
                <w:sz w:val="21"/>
                <w:szCs w:val="21"/>
                <w:lang w:val="en-US" w:eastAsia="zh-CN"/>
              </w:rPr>
              <w:t>1</w:t>
            </w:r>
            <w:r>
              <w:rPr>
                <w:rFonts w:hint="eastAsia" w:ascii="仿宋" w:hAnsi="仿宋" w:eastAsia="仿宋" w:cs="仿宋"/>
                <w:sz w:val="21"/>
                <w:szCs w:val="21"/>
              </w:rPr>
              <w:t>0分）</w:t>
            </w:r>
          </w:p>
        </w:tc>
        <w:tc>
          <w:tcPr>
            <w:tcW w:w="4507" w:type="dxa"/>
            <w:noWrap w:val="0"/>
            <w:vAlign w:val="center"/>
          </w:tcPr>
          <w:p w14:paraId="30695EC6">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2022年1月1日至投标截止之日止（以合同签订时间为准），投标人具有</w:t>
            </w:r>
            <w:r>
              <w:rPr>
                <w:rFonts w:hint="eastAsia" w:ascii="仿宋" w:hAnsi="仿宋" w:eastAsia="仿宋" w:cs="仿宋"/>
                <w:sz w:val="21"/>
                <w:szCs w:val="21"/>
                <w:lang w:val="en-US" w:eastAsia="zh-CN"/>
              </w:rPr>
              <w:t>单个维保项目建筑面积超过12万㎡的</w:t>
            </w:r>
            <w:r>
              <w:rPr>
                <w:rFonts w:hint="eastAsia" w:ascii="仿宋" w:hAnsi="仿宋" w:eastAsia="仿宋" w:cs="仿宋"/>
                <w:sz w:val="21"/>
                <w:szCs w:val="21"/>
              </w:rPr>
              <w:t>消防维保业绩，提供1个得</w:t>
            </w:r>
            <w:r>
              <w:rPr>
                <w:rFonts w:hint="eastAsia" w:ascii="仿宋" w:hAnsi="仿宋" w:eastAsia="仿宋" w:cs="仿宋"/>
                <w:sz w:val="21"/>
                <w:szCs w:val="21"/>
                <w:lang w:val="en-US" w:eastAsia="zh-CN"/>
              </w:rPr>
              <w:t>5</w:t>
            </w:r>
            <w:r>
              <w:rPr>
                <w:rFonts w:hint="eastAsia" w:ascii="仿宋" w:hAnsi="仿宋" w:eastAsia="仿宋" w:cs="仿宋"/>
                <w:sz w:val="21"/>
                <w:szCs w:val="21"/>
              </w:rPr>
              <w:t>分，本项最多得10分。</w:t>
            </w:r>
          </w:p>
        </w:tc>
        <w:tc>
          <w:tcPr>
            <w:tcW w:w="2377" w:type="dxa"/>
            <w:noWrap w:val="0"/>
            <w:vAlign w:val="center"/>
          </w:tcPr>
          <w:p w14:paraId="15263D28">
            <w:pPr>
              <w:spacing w:line="360" w:lineRule="auto"/>
              <w:jc w:val="left"/>
              <w:rPr>
                <w:rFonts w:hint="eastAsia" w:ascii="仿宋" w:hAnsi="仿宋" w:eastAsia="仿宋" w:cs="仿宋"/>
                <w:sz w:val="21"/>
                <w:szCs w:val="21"/>
              </w:rPr>
            </w:pPr>
            <w:r>
              <w:rPr>
                <w:rFonts w:hint="eastAsia" w:ascii="仿宋" w:hAnsi="仿宋" w:eastAsia="仿宋" w:cs="仿宋"/>
                <w:sz w:val="21"/>
                <w:szCs w:val="21"/>
              </w:rPr>
              <w:t>提供</w:t>
            </w:r>
            <w:r>
              <w:rPr>
                <w:rFonts w:hint="eastAsia" w:ascii="仿宋" w:hAnsi="仿宋" w:eastAsia="仿宋" w:cs="仿宋"/>
                <w:color w:val="auto"/>
                <w:sz w:val="21"/>
                <w:szCs w:val="21"/>
              </w:rPr>
              <w:t>合同复印件</w:t>
            </w:r>
            <w:r>
              <w:rPr>
                <w:rFonts w:hint="eastAsia" w:ascii="仿宋" w:hAnsi="仿宋" w:eastAsia="仿宋" w:cs="仿宋"/>
                <w:color w:val="auto"/>
                <w:sz w:val="21"/>
                <w:szCs w:val="21"/>
                <w:lang w:val="en-US" w:eastAsia="zh-CN"/>
              </w:rPr>
              <w:t>及建筑面积证明文件</w:t>
            </w:r>
            <w:r>
              <w:rPr>
                <w:rFonts w:hint="eastAsia" w:ascii="仿宋" w:hAnsi="仿宋" w:eastAsia="仿宋" w:cs="仿宋"/>
                <w:color w:val="auto"/>
                <w:sz w:val="21"/>
                <w:szCs w:val="21"/>
              </w:rPr>
              <w:t>，加盖投标人公章。</w:t>
            </w:r>
          </w:p>
          <w:p w14:paraId="61910A2E">
            <w:pPr>
              <w:spacing w:line="360" w:lineRule="auto"/>
              <w:jc w:val="left"/>
              <w:rPr>
                <w:rFonts w:hint="eastAsia" w:ascii="仿宋" w:hAnsi="仿宋" w:eastAsia="仿宋" w:cs="仿宋"/>
                <w:sz w:val="21"/>
                <w:szCs w:val="21"/>
              </w:rPr>
            </w:pPr>
            <w:r>
              <w:rPr>
                <w:rFonts w:hint="eastAsia" w:ascii="仿宋" w:hAnsi="仿宋" w:eastAsia="仿宋" w:cs="仿宋"/>
                <w:sz w:val="21"/>
                <w:szCs w:val="21"/>
              </w:rPr>
              <w:t>（同一业绩只计分一次）</w:t>
            </w:r>
          </w:p>
        </w:tc>
      </w:tr>
    </w:tbl>
    <w:p w14:paraId="3156761F">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说明：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C9F3968">
      <w:pPr>
        <w:pStyle w:val="3"/>
        <w:spacing w:line="560" w:lineRule="exact"/>
        <w:ind w:firstLine="640" w:firstLineChars="200"/>
        <w:outlineLvl w:val="0"/>
        <w:rPr>
          <w:rFonts w:ascii="方正黑体_GBK" w:hAnsi="方正黑体_GBK" w:eastAsia="方正黑体_GBK" w:cs="方正黑体_GBK"/>
          <w:sz w:val="32"/>
        </w:rPr>
      </w:pPr>
      <w:bookmarkStart w:id="164" w:name="_Toc224805704"/>
      <w:bookmarkStart w:id="165" w:name="_Toc6210"/>
      <w:bookmarkStart w:id="166" w:name="_Toc21425658"/>
      <w:r>
        <w:rPr>
          <w:rFonts w:hint="eastAsia" w:ascii="方正黑体_GBK" w:hAnsi="方正黑体_GBK" w:eastAsia="方正黑体_GBK" w:cs="方正黑体_GBK"/>
          <w:sz w:val="32"/>
        </w:rPr>
        <w:t>四、无效投标条款</w:t>
      </w:r>
      <w:bookmarkEnd w:id="164"/>
      <w:bookmarkEnd w:id="165"/>
      <w:bookmarkEnd w:id="166"/>
    </w:p>
    <w:p w14:paraId="49082AFD">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投标人或其响应文件出现下列情况之一者，应为无效投标：</w:t>
      </w:r>
    </w:p>
    <w:p w14:paraId="0A6835CF">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（一）未按照遴选文件的规定提交投标保证金的；</w:t>
      </w:r>
    </w:p>
    <w:p w14:paraId="14EC9FF0">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（二）响应文件未按遴选文件要求签署、盖章的；</w:t>
      </w:r>
    </w:p>
    <w:p w14:paraId="07CA9A10">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（三）不具备遴选文件中规定的资格要求的；</w:t>
      </w:r>
    </w:p>
    <w:p w14:paraId="789CA654">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（四）报价超过遴选文件中规定的预算金额或者最高限价的；</w:t>
      </w:r>
    </w:p>
    <w:p w14:paraId="5BC57D2C">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（五）响应文件含有采购人不能接受的附加条件的；</w:t>
      </w:r>
    </w:p>
    <w:p w14:paraId="29090FA1">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（六）投标人串通投标的；</w:t>
      </w:r>
    </w:p>
    <w:p w14:paraId="4E9A0BDB">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（七）投标人组成联合体投标的；</w:t>
      </w:r>
    </w:p>
    <w:p w14:paraId="75E139C6">
      <w:pPr>
        <w:keepNext w:val="0"/>
        <w:keepLines w:val="0"/>
        <w:widowControl w:val="0"/>
        <w:wordWrap w:val="0"/>
        <w:topLinePunct/>
        <w:spacing w:before="140" w:after="140" w:line="400" w:lineRule="exact"/>
        <w:ind w:firstLine="480" w:firstLineChars="200"/>
        <w:jc w:val="left"/>
        <w:outlineLvl w:val="9"/>
        <w:rPr>
          <w:rFonts w:ascii="方正仿宋_GBK" w:hAnsi="方正仿宋_GBK" w:eastAsia="方正仿宋_GBK" w:cs="方正仿宋_GBK"/>
          <w:sz w:val="32"/>
          <w:szCs w:val="32"/>
        </w:rPr>
      </w:pPr>
      <w:r>
        <w:rPr>
          <w:rFonts w:hint="eastAsia" w:ascii="仿宋" w:hAnsi="仿宋" w:eastAsia="仿宋" w:cs="仿宋"/>
          <w:b w:val="0"/>
          <w:color w:val="auto"/>
          <w:kern w:val="2"/>
          <w:sz w:val="24"/>
          <w:szCs w:val="24"/>
          <w:lang w:val="en-US" w:eastAsia="zh-CN" w:bidi="ar-SA"/>
        </w:rPr>
        <w:t>（八）法律、法规和遴选文件规定的其他无效情形。</w:t>
      </w:r>
    </w:p>
    <w:p w14:paraId="4FD1DC05">
      <w:pPr>
        <w:pStyle w:val="3"/>
        <w:spacing w:line="560" w:lineRule="exact"/>
        <w:ind w:firstLine="640" w:firstLineChars="200"/>
        <w:outlineLvl w:val="0"/>
        <w:rPr>
          <w:rFonts w:ascii="方正黑体_GBK" w:hAnsi="方正黑体_GBK" w:eastAsia="方正黑体_GBK" w:cs="方正黑体_GBK"/>
          <w:sz w:val="32"/>
        </w:rPr>
      </w:pPr>
      <w:bookmarkStart w:id="167" w:name="_Toc224805705"/>
      <w:bookmarkStart w:id="168" w:name="_Toc20756"/>
      <w:bookmarkStart w:id="169" w:name="_Toc21425659"/>
      <w:r>
        <w:rPr>
          <w:rFonts w:hint="eastAsia" w:ascii="方正黑体_GBK" w:hAnsi="方正黑体_GBK" w:eastAsia="方正黑体_GBK" w:cs="方正黑体_GBK"/>
          <w:sz w:val="32"/>
        </w:rPr>
        <w:t>五、废标条款</w:t>
      </w:r>
      <w:bookmarkEnd w:id="167"/>
      <w:bookmarkEnd w:id="168"/>
      <w:bookmarkEnd w:id="169"/>
    </w:p>
    <w:p w14:paraId="6AB62D49">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评审小组评审时出现以下情况之一的，应予废标：</w:t>
      </w:r>
    </w:p>
    <w:p w14:paraId="11F9F910">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（一）符合专业条件的投标人或者对遴选文件作实质响应的投标人不足三家的；</w:t>
      </w:r>
    </w:p>
    <w:p w14:paraId="62517993">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（二）出现影响采购公正的违法、违规行为的；</w:t>
      </w:r>
    </w:p>
    <w:p w14:paraId="7F30CEB8">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（三）因重大变故，采购任务取消的。</w:t>
      </w:r>
    </w:p>
    <w:p w14:paraId="50898E57">
      <w:pPr>
        <w:tabs>
          <w:tab w:val="left" w:pos="3360"/>
        </w:tabs>
        <w:spacing w:line="560" w:lineRule="exact"/>
        <w:outlineLvl w:val="9"/>
        <w:rPr>
          <w:rFonts w:ascii="方正小标宋_GBK" w:hAnsi="方正小标宋_GBK" w:eastAsia="方正小标宋_GBK" w:cs="方正小标宋_GBK"/>
          <w:b w:val="0"/>
        </w:rPr>
      </w:pPr>
      <w:bookmarkStart w:id="170" w:name="_Toc21425660"/>
      <w:r>
        <w:rPr>
          <w:rFonts w:ascii="方正小标宋_GBK" w:hAnsi="方正小标宋_GBK" w:eastAsia="方正小标宋_GBK" w:cs="方正小标宋_GBK"/>
          <w:b w:val="0"/>
        </w:rPr>
        <w:br w:type="page"/>
      </w:r>
    </w:p>
    <w:p w14:paraId="041A5BB4">
      <w:pPr>
        <w:pStyle w:val="2"/>
        <w:tabs>
          <w:tab w:val="left" w:pos="3360"/>
        </w:tabs>
        <w:spacing w:line="360" w:lineRule="auto"/>
        <w:rPr>
          <w:rFonts w:ascii="方正小标宋_GBK" w:hAnsi="方正小标宋_GBK" w:eastAsia="方正小标宋_GBK" w:cs="方正小标宋_GBK"/>
          <w:b w:val="0"/>
        </w:rPr>
      </w:pPr>
      <w:bookmarkStart w:id="171" w:name="_Toc5155"/>
      <w:bookmarkStart w:id="172" w:name="_Toc224805706"/>
      <w:r>
        <w:rPr>
          <w:rFonts w:hint="eastAsia" w:ascii="方正小标宋_GBK" w:hAnsi="方正小标宋_GBK" w:eastAsia="方正小标宋_GBK" w:cs="方正小标宋_GBK"/>
          <w:b w:val="0"/>
        </w:rPr>
        <w:t>第五篇  投标人须知</w:t>
      </w:r>
      <w:bookmarkEnd w:id="170"/>
      <w:bookmarkEnd w:id="171"/>
      <w:bookmarkEnd w:id="172"/>
    </w:p>
    <w:p w14:paraId="07EAEC47">
      <w:pPr>
        <w:pStyle w:val="3"/>
        <w:keepNext w:val="0"/>
        <w:keepLines w:val="0"/>
        <w:spacing w:line="594" w:lineRule="exact"/>
        <w:ind w:firstLine="560" w:firstLineChars="200"/>
        <w:outlineLvl w:val="0"/>
        <w:rPr>
          <w:rFonts w:ascii="方正黑体_GBK" w:hAnsi="方正黑体_GBK" w:eastAsia="方正黑体_GBK" w:cs="方正黑体_GBK"/>
          <w:sz w:val="28"/>
          <w:szCs w:val="28"/>
        </w:rPr>
      </w:pPr>
      <w:bookmarkStart w:id="173" w:name="_Toc21425661"/>
      <w:bookmarkStart w:id="174" w:name="_Toc5398"/>
      <w:bookmarkStart w:id="175" w:name="_Toc224805707"/>
      <w:r>
        <w:rPr>
          <w:rFonts w:hint="eastAsia" w:ascii="方正黑体_GBK" w:hAnsi="方正黑体_GBK" w:eastAsia="方正黑体_GBK" w:cs="方正黑体_GBK"/>
          <w:sz w:val="28"/>
          <w:szCs w:val="28"/>
        </w:rPr>
        <w:t>一、</w:t>
      </w:r>
      <w:bookmarkEnd w:id="173"/>
      <w:r>
        <w:rPr>
          <w:rFonts w:hint="eastAsia" w:ascii="方正黑体_GBK" w:hAnsi="方正黑体_GBK" w:eastAsia="方正黑体_GBK" w:cs="方正黑体_GBK"/>
          <w:sz w:val="28"/>
          <w:szCs w:val="28"/>
        </w:rPr>
        <w:t>投标人</w:t>
      </w:r>
      <w:bookmarkEnd w:id="174"/>
      <w:bookmarkEnd w:id="175"/>
    </w:p>
    <w:p w14:paraId="5B3A7FD0">
      <w:pPr>
        <w:spacing w:line="594" w:lineRule="exact"/>
        <w:ind w:firstLine="560" w:firstLineChars="200"/>
        <w:outlineLvl w:val="1"/>
        <w:rPr>
          <w:rFonts w:ascii="方正楷体_GBK" w:hAnsi="方正楷体_GBK" w:eastAsia="方正楷体_GBK" w:cs="方正楷体_GBK"/>
          <w:sz w:val="28"/>
          <w:szCs w:val="28"/>
        </w:rPr>
      </w:pPr>
      <w:bookmarkStart w:id="176" w:name="_Toc15304"/>
      <w:r>
        <w:rPr>
          <w:rFonts w:hint="eastAsia" w:ascii="方正楷体_GBK" w:hAnsi="方正楷体_GBK" w:eastAsia="方正楷体_GBK" w:cs="方正楷体_GBK"/>
          <w:sz w:val="28"/>
          <w:szCs w:val="28"/>
        </w:rPr>
        <w:t>（一）投标人</w:t>
      </w:r>
      <w:bookmarkEnd w:id="176"/>
    </w:p>
    <w:p w14:paraId="2D4EF540">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投标人是指响应招标、参加投标的法人、其他组织或者自然人。</w:t>
      </w:r>
    </w:p>
    <w:p w14:paraId="5F430CB9">
      <w:pPr>
        <w:spacing w:line="594" w:lineRule="exact"/>
        <w:ind w:firstLine="560" w:firstLineChars="200"/>
        <w:outlineLvl w:val="1"/>
        <w:rPr>
          <w:rFonts w:ascii="方正楷体_GBK" w:hAnsi="方正楷体_GBK" w:eastAsia="方正楷体_GBK" w:cs="方正楷体_GBK"/>
          <w:sz w:val="28"/>
          <w:szCs w:val="28"/>
        </w:rPr>
      </w:pPr>
      <w:bookmarkStart w:id="177" w:name="_Toc29502"/>
      <w:r>
        <w:rPr>
          <w:rFonts w:hint="eastAsia" w:ascii="方正楷体_GBK" w:hAnsi="方正楷体_GBK" w:eastAsia="方正楷体_GBK" w:cs="方正楷体_GBK"/>
          <w:sz w:val="28"/>
          <w:szCs w:val="28"/>
        </w:rPr>
        <w:t>（二）合格投标人条件</w:t>
      </w:r>
      <w:bookmarkEnd w:id="177"/>
    </w:p>
    <w:p w14:paraId="5FB78DE7">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合格投标人应完全符合遴选文件第一篇中规定的投标人资格条件，并对遴选文件作出实质性响应。</w:t>
      </w:r>
    </w:p>
    <w:p w14:paraId="389ABCE6">
      <w:pPr>
        <w:spacing w:line="594" w:lineRule="exact"/>
        <w:ind w:firstLine="560" w:firstLineChars="200"/>
        <w:outlineLvl w:val="1"/>
        <w:rPr>
          <w:rFonts w:ascii="方正楷体_GBK" w:hAnsi="方正楷体_GBK" w:eastAsia="方正楷体_GBK" w:cs="方正楷体_GBK"/>
          <w:sz w:val="28"/>
          <w:szCs w:val="28"/>
        </w:rPr>
      </w:pPr>
      <w:bookmarkStart w:id="178" w:name="_Toc4523"/>
      <w:r>
        <w:rPr>
          <w:rFonts w:hint="eastAsia" w:ascii="方正楷体_GBK" w:hAnsi="方正楷体_GBK" w:eastAsia="方正楷体_GBK" w:cs="方正楷体_GBK"/>
          <w:sz w:val="28"/>
          <w:szCs w:val="28"/>
        </w:rPr>
        <w:t>（三）投标人的风险</w:t>
      </w:r>
      <w:bookmarkEnd w:id="178"/>
    </w:p>
    <w:p w14:paraId="13852066">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投标人没有按照遴选文件要求提供全部资料，或者投标人没有对遴选文件在各方面作出实质性响应，可能导致投标被拒绝或评定为无效投标。</w:t>
      </w:r>
    </w:p>
    <w:p w14:paraId="589E3B51">
      <w:pPr>
        <w:spacing w:line="594" w:lineRule="exact"/>
        <w:ind w:firstLine="560" w:firstLineChars="200"/>
        <w:outlineLvl w:val="1"/>
        <w:rPr>
          <w:rFonts w:ascii="方正楷体_GBK" w:hAnsi="方正楷体_GBK" w:eastAsia="方正楷体_GBK" w:cs="方正楷体_GBK"/>
          <w:sz w:val="28"/>
          <w:szCs w:val="28"/>
        </w:rPr>
      </w:pPr>
      <w:bookmarkStart w:id="179" w:name="_Toc20902"/>
      <w:r>
        <w:rPr>
          <w:rFonts w:hint="eastAsia" w:ascii="方正楷体_GBK" w:hAnsi="方正楷体_GBK" w:eastAsia="方正楷体_GBK" w:cs="方正楷体_GBK"/>
          <w:sz w:val="28"/>
          <w:szCs w:val="28"/>
        </w:rPr>
        <w:t>（四）法律责任</w:t>
      </w:r>
      <w:bookmarkEnd w:id="179"/>
    </w:p>
    <w:p w14:paraId="48B59739">
      <w:pPr>
        <w:keepNext w:val="0"/>
        <w:keepLines w:val="0"/>
        <w:widowControl w:val="0"/>
        <w:wordWrap w:val="0"/>
        <w:topLinePunct/>
        <w:spacing w:before="140" w:after="140" w:line="400" w:lineRule="exact"/>
        <w:ind w:firstLine="560" w:firstLineChars="200"/>
        <w:jc w:val="left"/>
        <w:outlineLvl w:val="9"/>
        <w:rPr>
          <w:rFonts w:ascii="方正仿宋_GBK" w:hAnsi="方正仿宋_GBK" w:eastAsia="方正仿宋_GBK" w:cs="方正仿宋_GBK"/>
          <w:sz w:val="28"/>
          <w:szCs w:val="28"/>
        </w:rPr>
      </w:pPr>
      <w:r>
        <w:rPr>
          <w:rFonts w:hint="eastAsia" w:ascii="仿宋" w:hAnsi="仿宋" w:eastAsia="仿宋" w:cs="仿宋"/>
          <w:b w:val="0"/>
          <w:color w:val="auto"/>
          <w:kern w:val="2"/>
          <w:sz w:val="28"/>
          <w:szCs w:val="28"/>
          <w:lang w:val="en-US" w:eastAsia="zh-CN" w:bidi="ar-SA"/>
        </w:rPr>
        <w:t>投标人违反《中华人民共和国政府采购法》《中华人民共和国政府采购实施条例》等相关规定，将按规定追究投标人法律责任。</w:t>
      </w:r>
    </w:p>
    <w:p w14:paraId="54477BF7">
      <w:pPr>
        <w:pStyle w:val="3"/>
        <w:keepNext w:val="0"/>
        <w:keepLines w:val="0"/>
        <w:spacing w:line="594" w:lineRule="exact"/>
        <w:ind w:firstLine="560" w:firstLineChars="200"/>
        <w:outlineLvl w:val="0"/>
        <w:rPr>
          <w:rFonts w:ascii="方正黑体_GBK" w:hAnsi="方正黑体_GBK" w:eastAsia="方正黑体_GBK" w:cs="方正黑体_GBK"/>
          <w:sz w:val="28"/>
          <w:szCs w:val="28"/>
        </w:rPr>
      </w:pPr>
      <w:bookmarkStart w:id="180" w:name="_Toc21425662"/>
      <w:bookmarkStart w:id="181" w:name="_Toc224805708"/>
      <w:bookmarkStart w:id="182" w:name="_Toc17113"/>
      <w:r>
        <w:rPr>
          <w:rFonts w:hint="eastAsia" w:ascii="方正黑体_GBK" w:hAnsi="方正黑体_GBK" w:eastAsia="方正黑体_GBK" w:cs="方正黑体_GBK"/>
          <w:sz w:val="28"/>
          <w:szCs w:val="28"/>
        </w:rPr>
        <w:t>二、</w:t>
      </w:r>
      <w:bookmarkEnd w:id="180"/>
      <w:r>
        <w:rPr>
          <w:rFonts w:hint="eastAsia" w:ascii="方正黑体_GBK" w:hAnsi="方正黑体_GBK" w:eastAsia="方正黑体_GBK" w:cs="方正黑体_GBK"/>
          <w:sz w:val="28"/>
          <w:szCs w:val="28"/>
        </w:rPr>
        <w:t>遴选文件</w:t>
      </w:r>
      <w:bookmarkEnd w:id="181"/>
      <w:bookmarkEnd w:id="182"/>
    </w:p>
    <w:p w14:paraId="0AAAE9F8">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遴选文件是投标人编制响应文件的依据，是评审小组评判依据和标准。遴选文件也是采购人与中标人签订合同的基础。</w:t>
      </w:r>
    </w:p>
    <w:p w14:paraId="5ED3F0E1">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（一）遴选文件由遴选邀请书；项目服务要求；项目商务要求；资格审查及评分办法；投标人须知；响应文件格式等部分组成。</w:t>
      </w:r>
    </w:p>
    <w:p w14:paraId="271651A5">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（二）采购人对遴选文件所作的一切有效的书面通知、修改及补充，都是遴选文件不可分割的部分。</w:t>
      </w:r>
    </w:p>
    <w:p w14:paraId="2930ABAC">
      <w:pPr>
        <w:keepNext w:val="0"/>
        <w:keepLines w:val="0"/>
        <w:widowControl w:val="0"/>
        <w:wordWrap w:val="0"/>
        <w:topLinePunct/>
        <w:spacing w:before="140" w:after="140" w:line="400" w:lineRule="exact"/>
        <w:ind w:firstLine="560" w:firstLineChars="200"/>
        <w:jc w:val="left"/>
        <w:outlineLvl w:val="9"/>
        <w:rPr>
          <w:rFonts w:ascii="方正仿宋_GBK" w:hAnsi="方正仿宋_GBK" w:eastAsia="方正仿宋_GBK" w:cs="方正仿宋_GBK"/>
          <w:sz w:val="28"/>
          <w:szCs w:val="28"/>
        </w:rPr>
      </w:pPr>
      <w:r>
        <w:rPr>
          <w:rFonts w:hint="eastAsia" w:ascii="仿宋" w:hAnsi="仿宋" w:eastAsia="仿宋" w:cs="仿宋"/>
          <w:b w:val="0"/>
          <w:color w:val="auto"/>
          <w:kern w:val="2"/>
          <w:sz w:val="28"/>
          <w:szCs w:val="28"/>
          <w:lang w:val="en-US" w:eastAsia="zh-CN" w:bidi="ar-SA"/>
        </w:rPr>
        <w:t>（三）本项目的遴选文件、补遗文件（如果有）一律在采购人官网上发布，请各投标人注意下载领取；无论投标人下载或领取与否，均视同投标人已知晓本项目遴选文件、补遗文件的内容。</w:t>
      </w:r>
    </w:p>
    <w:p w14:paraId="518F8988">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（四）采购人对已发出的遴选文件需要进行澄清或修改的，应以公告形式通知所有遴选文件收受人。该澄清或者修改的内容为遴选文件的组成部分。</w:t>
      </w:r>
    </w:p>
    <w:p w14:paraId="455C1780">
      <w:pPr>
        <w:pStyle w:val="3"/>
        <w:keepNext w:val="0"/>
        <w:keepLines w:val="0"/>
        <w:spacing w:line="594" w:lineRule="exact"/>
        <w:ind w:firstLine="560" w:firstLineChars="200"/>
        <w:outlineLvl w:val="0"/>
        <w:rPr>
          <w:rFonts w:ascii="方正黑体_GBK" w:hAnsi="方正黑体_GBK" w:eastAsia="方正黑体_GBK" w:cs="方正黑体_GBK"/>
          <w:sz w:val="28"/>
          <w:szCs w:val="28"/>
        </w:rPr>
      </w:pPr>
      <w:bookmarkStart w:id="183" w:name="_Toc21425663"/>
      <w:bookmarkStart w:id="184" w:name="_Toc224805709"/>
      <w:bookmarkStart w:id="185" w:name="_Toc4868"/>
      <w:r>
        <w:rPr>
          <w:rFonts w:hint="eastAsia" w:ascii="方正黑体_GBK" w:hAnsi="方正黑体_GBK" w:eastAsia="方正黑体_GBK" w:cs="方正黑体_GBK"/>
          <w:sz w:val="28"/>
          <w:szCs w:val="28"/>
        </w:rPr>
        <w:t>三、</w:t>
      </w:r>
      <w:bookmarkEnd w:id="183"/>
      <w:r>
        <w:rPr>
          <w:rFonts w:hint="eastAsia" w:ascii="方正黑体_GBK" w:hAnsi="方正黑体_GBK" w:eastAsia="方正黑体_GBK" w:cs="方正黑体_GBK"/>
          <w:sz w:val="28"/>
          <w:szCs w:val="28"/>
        </w:rPr>
        <w:t>响应文件</w:t>
      </w:r>
      <w:bookmarkEnd w:id="184"/>
      <w:bookmarkEnd w:id="185"/>
    </w:p>
    <w:p w14:paraId="568B3AF0">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投标人应当按照遴选文件的要求编制响应文件，并对遴选文件提出的要求和条件作出实质性响应，响应文件原则上采用软面胶装（不得采用穿孔式、文件夹式活页装订），同时应编制完整的封面、页码、目录。</w:t>
      </w:r>
    </w:p>
    <w:p w14:paraId="65DC1136">
      <w:pPr>
        <w:spacing w:line="594" w:lineRule="exact"/>
        <w:ind w:firstLine="560" w:firstLineChars="200"/>
        <w:outlineLvl w:val="1"/>
        <w:rPr>
          <w:rFonts w:ascii="方正楷体_GBK" w:hAnsi="方正楷体_GBK" w:eastAsia="方正楷体_GBK" w:cs="方正楷体_GBK"/>
          <w:sz w:val="28"/>
          <w:szCs w:val="28"/>
        </w:rPr>
      </w:pPr>
      <w:bookmarkStart w:id="186" w:name="_Toc20904"/>
      <w:r>
        <w:rPr>
          <w:rFonts w:hint="eastAsia" w:ascii="方正楷体_GBK" w:hAnsi="方正楷体_GBK" w:eastAsia="方正楷体_GBK" w:cs="方正楷体_GBK"/>
          <w:sz w:val="28"/>
          <w:szCs w:val="28"/>
        </w:rPr>
        <w:t>（一）响应文件组成</w:t>
      </w:r>
      <w:bookmarkEnd w:id="186"/>
    </w:p>
    <w:p w14:paraId="46E98176">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响应文件由第七篇“响应文件编制要求”规定的部分和投标人所作的一切有效补充、修改和承诺等文件组成，投标人应按照第七篇“响应文件编制要求”规定的目录顺序组织编写和装订，否则有可能影响评委对响应文件的评审。</w:t>
      </w:r>
    </w:p>
    <w:p w14:paraId="675CF305">
      <w:pPr>
        <w:spacing w:line="594" w:lineRule="exact"/>
        <w:ind w:firstLine="560" w:firstLineChars="200"/>
        <w:outlineLvl w:val="1"/>
        <w:rPr>
          <w:rFonts w:ascii="方正楷体_GBK" w:hAnsi="方正楷体_GBK" w:eastAsia="方正楷体_GBK" w:cs="方正楷体_GBK"/>
          <w:sz w:val="28"/>
          <w:szCs w:val="28"/>
        </w:rPr>
      </w:pPr>
      <w:bookmarkStart w:id="187" w:name="_Toc30975"/>
      <w:r>
        <w:rPr>
          <w:rFonts w:hint="eastAsia" w:ascii="方正楷体_GBK" w:hAnsi="方正楷体_GBK" w:eastAsia="方正楷体_GBK" w:cs="方正楷体_GBK"/>
          <w:sz w:val="28"/>
          <w:szCs w:val="28"/>
        </w:rPr>
        <w:t>（二）投标有效期</w:t>
      </w:r>
      <w:bookmarkEnd w:id="187"/>
    </w:p>
    <w:p w14:paraId="0E9AB123">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投标有效期为投标截止日期起九十日内。</w:t>
      </w:r>
    </w:p>
    <w:p w14:paraId="73E59280">
      <w:pPr>
        <w:spacing w:line="594" w:lineRule="exact"/>
        <w:ind w:firstLine="560" w:firstLineChars="200"/>
        <w:outlineLvl w:val="1"/>
        <w:rPr>
          <w:rFonts w:ascii="方正楷体_GBK" w:hAnsi="方正楷体_GBK" w:eastAsia="方正楷体_GBK" w:cs="方正楷体_GBK"/>
          <w:sz w:val="28"/>
          <w:szCs w:val="28"/>
        </w:rPr>
      </w:pPr>
      <w:bookmarkStart w:id="188" w:name="_Toc18211"/>
      <w:r>
        <w:rPr>
          <w:rFonts w:hint="eastAsia" w:ascii="方正楷体_GBK" w:hAnsi="方正楷体_GBK" w:eastAsia="方正楷体_GBK" w:cs="方正楷体_GBK"/>
          <w:sz w:val="28"/>
          <w:szCs w:val="28"/>
        </w:rPr>
        <w:t>（三）响应文件的份数和签署</w:t>
      </w:r>
      <w:bookmarkEnd w:id="188"/>
    </w:p>
    <w:p w14:paraId="3BCE1A1F">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1.响应文件一式叁份，其中正本壹份，副本壹份，电子档壹份。每套纸质响应文件须在封面清楚地标明“正本”、“副本”，副本应为正本的完整复印件，副本与正本不一致时以正本为准。</w:t>
      </w:r>
    </w:p>
    <w:p w14:paraId="49531EE9">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2.在响应文件正本中，遴选文件第七篇响应文件格式中规定签字、盖章的地方必须按其规定签字、盖章。</w:t>
      </w:r>
    </w:p>
    <w:p w14:paraId="16FD56BD">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3.若投标人对响应文件的错处作必要修改，则应在修改处加盖投标人公章或由法定代表人或法定代表人授权代表签字确认。</w:t>
      </w:r>
    </w:p>
    <w:p w14:paraId="3B2DA4AF">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4.电报、电话、传真形式的响应文件概不接受。</w:t>
      </w:r>
    </w:p>
    <w:p w14:paraId="106EC6CF">
      <w:pPr>
        <w:spacing w:line="594" w:lineRule="exact"/>
        <w:ind w:firstLine="560" w:firstLineChars="200"/>
        <w:outlineLvl w:val="1"/>
        <w:rPr>
          <w:rFonts w:ascii="方正楷体_GBK" w:hAnsi="方正楷体_GBK" w:eastAsia="方正楷体_GBK" w:cs="方正楷体_GBK"/>
          <w:sz w:val="28"/>
          <w:szCs w:val="28"/>
        </w:rPr>
      </w:pPr>
      <w:bookmarkStart w:id="189" w:name="_Toc1646"/>
      <w:r>
        <w:rPr>
          <w:rFonts w:hint="eastAsia" w:ascii="方正楷体_GBK" w:hAnsi="方正楷体_GBK" w:eastAsia="方正楷体_GBK" w:cs="方正楷体_GBK"/>
          <w:sz w:val="28"/>
          <w:szCs w:val="28"/>
        </w:rPr>
        <w:t>（四）投标报价</w:t>
      </w:r>
      <w:bookmarkEnd w:id="189"/>
    </w:p>
    <w:p w14:paraId="290EB11D">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1.投标人应严格按照“响应文件编制要求”中遴选报价函的格式填写报价。</w:t>
      </w:r>
    </w:p>
    <w:p w14:paraId="40FBDCBD">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2.投标人的报价为一次性报价，即在投标有效期内投标价格固定不变。</w:t>
      </w:r>
    </w:p>
    <w:p w14:paraId="2FF6B08E">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3.本项目只接受一个投标报价，有选择的或有条件的报价将不予接受。</w:t>
      </w:r>
    </w:p>
    <w:p w14:paraId="4ED453C4">
      <w:pPr>
        <w:pStyle w:val="31"/>
        <w:spacing w:line="594" w:lineRule="exact"/>
        <w:ind w:firstLine="560" w:firstLineChars="200"/>
        <w:outlineLvl w:val="1"/>
        <w:rPr>
          <w:rFonts w:ascii="方正楷体_GBK" w:hAnsi="方正楷体_GBK" w:eastAsia="方正楷体_GBK" w:cs="方正楷体_GBK"/>
          <w:kern w:val="0"/>
          <w:sz w:val="28"/>
          <w:szCs w:val="28"/>
        </w:rPr>
      </w:pPr>
      <w:bookmarkStart w:id="190" w:name="_Toc10451"/>
      <w:r>
        <w:rPr>
          <w:rFonts w:hint="eastAsia" w:ascii="方正楷体_GBK" w:hAnsi="方正楷体_GBK" w:eastAsia="方正楷体_GBK" w:cs="方正楷体_GBK"/>
          <w:kern w:val="0"/>
          <w:sz w:val="28"/>
          <w:szCs w:val="28"/>
        </w:rPr>
        <w:t>（五）修正错误</w:t>
      </w:r>
      <w:bookmarkEnd w:id="190"/>
    </w:p>
    <w:p w14:paraId="50EB32FC">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若响应文件出现计算或表达上的错误，修正错误的原则如下：</w:t>
      </w:r>
    </w:p>
    <w:p w14:paraId="4AB58EF9">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1.响应文件中报价函内容与响应文件中相应内容不一致的，以报价函为准；</w:t>
      </w:r>
    </w:p>
    <w:p w14:paraId="2DD44E5E">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2.大写金额和小写金额不一致的，以大写金额为准；</w:t>
      </w:r>
    </w:p>
    <w:p w14:paraId="291677B7">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3.单价金额小数点或者百分比有明显错位的，以报价函的总价为准，并修改单价；</w:t>
      </w:r>
    </w:p>
    <w:p w14:paraId="55882CA2">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4.总价金额与按单价汇总金额不一致的，以两者中较小的为准。</w:t>
      </w:r>
    </w:p>
    <w:p w14:paraId="7047D68A">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评审小组按上述修正错误的原则及方法调整或修正投标人投标报价，若同时出现两种以上不一致的，按照前款规定的顺序修正，投标人同意并签字确认后，调整后的投标报价对投标人具有约束作用。如果投标人不接受修正后的报价，则其投标将作为无效投标处理。</w:t>
      </w:r>
    </w:p>
    <w:p w14:paraId="3BFEE7CB">
      <w:pPr>
        <w:pStyle w:val="31"/>
        <w:spacing w:line="594" w:lineRule="exact"/>
        <w:ind w:firstLine="560" w:firstLineChars="200"/>
        <w:outlineLvl w:val="1"/>
        <w:rPr>
          <w:rFonts w:ascii="方正楷体_GBK" w:hAnsi="方正楷体_GBK" w:eastAsia="方正楷体_GBK" w:cs="方正楷体_GBK"/>
          <w:kern w:val="0"/>
          <w:sz w:val="28"/>
          <w:szCs w:val="28"/>
        </w:rPr>
      </w:pPr>
      <w:bookmarkStart w:id="191" w:name="_Toc18562"/>
      <w:r>
        <w:rPr>
          <w:rFonts w:hint="eastAsia" w:ascii="方正楷体_GBK" w:hAnsi="方正楷体_GBK" w:eastAsia="方正楷体_GBK" w:cs="方正楷体_GBK"/>
          <w:kern w:val="0"/>
          <w:sz w:val="28"/>
          <w:szCs w:val="28"/>
        </w:rPr>
        <w:t>（六）响应文件的递交</w:t>
      </w:r>
      <w:bookmarkEnd w:id="191"/>
    </w:p>
    <w:p w14:paraId="4B48A2A0">
      <w:pPr>
        <w:keepNext w:val="0"/>
        <w:keepLines w:val="0"/>
        <w:widowControl w:val="0"/>
        <w:wordWrap w:val="0"/>
        <w:topLinePunct/>
        <w:spacing w:before="140" w:after="140" w:line="400" w:lineRule="exact"/>
        <w:ind w:firstLine="560" w:firstLineChars="200"/>
        <w:jc w:val="left"/>
        <w:outlineLvl w:val="2"/>
        <w:rPr>
          <w:rFonts w:hint="eastAsia" w:ascii="仿宋" w:hAnsi="仿宋" w:eastAsia="仿宋" w:cs="仿宋"/>
          <w:b w:val="0"/>
          <w:color w:val="auto"/>
          <w:kern w:val="2"/>
          <w:sz w:val="28"/>
          <w:szCs w:val="28"/>
          <w:lang w:val="en-US" w:eastAsia="zh-CN" w:bidi="ar-SA"/>
        </w:rPr>
      </w:pPr>
      <w:bookmarkStart w:id="192" w:name="_Toc7628"/>
      <w:r>
        <w:rPr>
          <w:rFonts w:hint="eastAsia" w:ascii="仿宋" w:hAnsi="仿宋" w:eastAsia="仿宋" w:cs="仿宋"/>
          <w:b w:val="0"/>
          <w:color w:val="auto"/>
          <w:kern w:val="2"/>
          <w:sz w:val="28"/>
          <w:szCs w:val="28"/>
          <w:lang w:val="en-US" w:eastAsia="zh-CN" w:bidi="ar-SA"/>
        </w:rPr>
        <w:t>1.响应文件的密封与标记</w:t>
      </w:r>
      <w:bookmarkEnd w:id="192"/>
    </w:p>
    <w:p w14:paraId="6433486B">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响应文件的正本、副本以均应密封送达投标地点，应在封套上注明项目名称、投标人名称。若正本、副本分别进行密封的，还应在封套上注明“正本”、“副本”字样。</w:t>
      </w:r>
    </w:p>
    <w:p w14:paraId="264A1513">
      <w:pPr>
        <w:keepNext w:val="0"/>
        <w:keepLines w:val="0"/>
        <w:widowControl w:val="0"/>
        <w:wordWrap w:val="0"/>
        <w:topLinePunct/>
        <w:spacing w:before="140" w:after="140" w:line="400" w:lineRule="exact"/>
        <w:ind w:firstLine="560" w:firstLineChars="200"/>
        <w:jc w:val="left"/>
        <w:outlineLvl w:val="2"/>
        <w:rPr>
          <w:rFonts w:hint="eastAsia" w:ascii="仿宋" w:hAnsi="仿宋" w:eastAsia="仿宋" w:cs="仿宋"/>
          <w:b w:val="0"/>
          <w:color w:val="auto"/>
          <w:kern w:val="2"/>
          <w:sz w:val="28"/>
          <w:szCs w:val="28"/>
          <w:lang w:val="en-US" w:eastAsia="zh-CN" w:bidi="ar-SA"/>
        </w:rPr>
      </w:pPr>
      <w:bookmarkStart w:id="193" w:name="_Toc26136"/>
      <w:r>
        <w:rPr>
          <w:rFonts w:hint="eastAsia" w:ascii="仿宋" w:hAnsi="仿宋" w:eastAsia="仿宋" w:cs="仿宋"/>
          <w:b w:val="0"/>
          <w:color w:val="auto"/>
          <w:kern w:val="2"/>
          <w:sz w:val="28"/>
          <w:szCs w:val="28"/>
          <w:lang w:val="en-US" w:eastAsia="zh-CN" w:bidi="ar-SA"/>
        </w:rPr>
        <w:t>2.如果未按上述规定进行密封和标记，采购单位对响应文件误投、丢失或提前拆封不负责任。</w:t>
      </w:r>
      <w:bookmarkEnd w:id="193"/>
    </w:p>
    <w:p w14:paraId="0FA759C7">
      <w:pPr>
        <w:pStyle w:val="3"/>
        <w:keepNext w:val="0"/>
        <w:keepLines w:val="0"/>
        <w:spacing w:line="594" w:lineRule="exact"/>
        <w:ind w:firstLine="560" w:firstLineChars="200"/>
        <w:outlineLvl w:val="0"/>
        <w:rPr>
          <w:rFonts w:ascii="方正黑体_GBK" w:hAnsi="方正黑体_GBK" w:eastAsia="方正黑体_GBK" w:cs="方正黑体_GBK"/>
          <w:sz w:val="28"/>
          <w:szCs w:val="28"/>
        </w:rPr>
      </w:pPr>
      <w:bookmarkStart w:id="194" w:name="_Toc21425665"/>
      <w:bookmarkStart w:id="195" w:name="_Toc17705"/>
      <w:bookmarkStart w:id="196" w:name="_Toc224805710"/>
      <w:r>
        <w:rPr>
          <w:rFonts w:hint="eastAsia" w:ascii="方正黑体_GBK" w:hAnsi="方正黑体_GBK" w:eastAsia="方正黑体_GBK" w:cs="方正黑体_GBK"/>
          <w:sz w:val="28"/>
          <w:szCs w:val="28"/>
        </w:rPr>
        <w:t>四、评标</w:t>
      </w:r>
      <w:bookmarkEnd w:id="194"/>
      <w:bookmarkEnd w:id="195"/>
      <w:bookmarkEnd w:id="196"/>
    </w:p>
    <w:p w14:paraId="3DEABBBD">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见第四篇“资格审查及评分办法”内容。</w:t>
      </w:r>
    </w:p>
    <w:p w14:paraId="5966BD12">
      <w:pPr>
        <w:pStyle w:val="3"/>
        <w:keepNext w:val="0"/>
        <w:keepLines w:val="0"/>
        <w:spacing w:line="594" w:lineRule="exact"/>
        <w:ind w:firstLine="560" w:firstLineChars="200"/>
        <w:outlineLvl w:val="0"/>
        <w:rPr>
          <w:rFonts w:ascii="方正黑体_GBK" w:hAnsi="方正黑体_GBK" w:eastAsia="方正黑体_GBK" w:cs="方正黑体_GBK"/>
          <w:sz w:val="28"/>
          <w:szCs w:val="28"/>
        </w:rPr>
      </w:pPr>
      <w:bookmarkStart w:id="197" w:name="_Toc21425666"/>
      <w:bookmarkStart w:id="198" w:name="_Toc224805711"/>
      <w:bookmarkStart w:id="199" w:name="_Toc3787"/>
      <w:r>
        <w:rPr>
          <w:rFonts w:hint="eastAsia" w:ascii="方正黑体_GBK" w:hAnsi="方正黑体_GBK" w:eastAsia="方正黑体_GBK" w:cs="方正黑体_GBK"/>
          <w:sz w:val="28"/>
          <w:szCs w:val="28"/>
        </w:rPr>
        <w:t>五、定标</w:t>
      </w:r>
      <w:bookmarkEnd w:id="197"/>
      <w:bookmarkEnd w:id="198"/>
      <w:bookmarkEnd w:id="199"/>
    </w:p>
    <w:p w14:paraId="1E28F71D">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bookmarkStart w:id="200" w:name="_Toc21425668"/>
      <w:r>
        <w:rPr>
          <w:rFonts w:hint="eastAsia" w:ascii="仿宋" w:hAnsi="仿宋" w:eastAsia="仿宋" w:cs="仿宋"/>
          <w:b w:val="0"/>
          <w:color w:val="auto"/>
          <w:kern w:val="2"/>
          <w:sz w:val="28"/>
          <w:szCs w:val="28"/>
          <w:lang w:val="en-US" w:eastAsia="zh-CN" w:bidi="ar-SA"/>
        </w:rPr>
        <w:t>根据第四篇“资格审查及评分办法”“三、评分标准” ，得分最高者中标。比较结束后，采购人仅对中标者发出通知。采购人有权对落标者不做落标说明和解释。</w:t>
      </w:r>
    </w:p>
    <w:p w14:paraId="1B8B5E74">
      <w:pPr>
        <w:pStyle w:val="3"/>
        <w:keepNext w:val="0"/>
        <w:keepLines w:val="0"/>
        <w:spacing w:line="594" w:lineRule="exact"/>
        <w:ind w:firstLine="560" w:firstLineChars="200"/>
        <w:outlineLvl w:val="0"/>
        <w:rPr>
          <w:rFonts w:ascii="方正黑体_GBK" w:hAnsi="方正黑体_GBK" w:eastAsia="方正黑体_GBK" w:cs="方正黑体_GBK"/>
          <w:sz w:val="28"/>
          <w:szCs w:val="28"/>
        </w:rPr>
      </w:pPr>
      <w:bookmarkStart w:id="201" w:name="_Toc224805712"/>
      <w:bookmarkStart w:id="202" w:name="_Toc4440"/>
      <w:r>
        <w:rPr>
          <w:rFonts w:hint="eastAsia" w:ascii="方正黑体_GBK" w:hAnsi="方正黑体_GBK" w:eastAsia="方正黑体_GBK" w:cs="方正黑体_GBK"/>
          <w:sz w:val="28"/>
          <w:szCs w:val="28"/>
        </w:rPr>
        <w:t>六、询问、质疑</w:t>
      </w:r>
      <w:bookmarkEnd w:id="200"/>
      <w:bookmarkEnd w:id="201"/>
      <w:bookmarkEnd w:id="202"/>
    </w:p>
    <w:p w14:paraId="4337EB8C">
      <w:pPr>
        <w:spacing w:line="594" w:lineRule="exact"/>
        <w:ind w:firstLine="560" w:firstLineChars="200"/>
        <w:outlineLvl w:val="1"/>
        <w:rPr>
          <w:rFonts w:ascii="方正楷体_GBK" w:hAnsi="方正楷体_GBK" w:eastAsia="方正楷体_GBK" w:cs="方正楷体_GBK"/>
          <w:sz w:val="28"/>
          <w:szCs w:val="28"/>
        </w:rPr>
      </w:pPr>
      <w:bookmarkStart w:id="203" w:name="_Toc28549"/>
      <w:r>
        <w:rPr>
          <w:rFonts w:hint="eastAsia" w:ascii="方正楷体_GBK" w:hAnsi="方正楷体_GBK" w:eastAsia="方正楷体_GBK" w:cs="方正楷体_GBK"/>
          <w:sz w:val="28"/>
          <w:szCs w:val="28"/>
        </w:rPr>
        <w:t>（一）询问</w:t>
      </w:r>
      <w:bookmarkEnd w:id="203"/>
    </w:p>
    <w:p w14:paraId="7347EA80">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采购人应当在3个工作日内对投标人依法提出的询问作出答复。投标人询问可以是口头或书面形式。</w:t>
      </w:r>
    </w:p>
    <w:p w14:paraId="7F86EDFD">
      <w:pPr>
        <w:spacing w:line="594" w:lineRule="exact"/>
        <w:ind w:firstLine="560" w:firstLineChars="200"/>
        <w:outlineLvl w:val="1"/>
        <w:rPr>
          <w:rFonts w:ascii="方正楷体_GBK" w:hAnsi="方正楷体_GBK" w:eastAsia="方正楷体_GBK" w:cs="方正楷体_GBK"/>
          <w:sz w:val="28"/>
          <w:szCs w:val="28"/>
        </w:rPr>
      </w:pPr>
      <w:bookmarkStart w:id="204" w:name="_Toc22253"/>
      <w:r>
        <w:rPr>
          <w:rFonts w:hint="eastAsia" w:ascii="方正楷体_GBK" w:hAnsi="方正楷体_GBK" w:eastAsia="方正楷体_GBK" w:cs="方正楷体_GBK"/>
          <w:sz w:val="28"/>
          <w:szCs w:val="28"/>
        </w:rPr>
        <w:t>（二）质疑</w:t>
      </w:r>
      <w:bookmarkEnd w:id="204"/>
    </w:p>
    <w:p w14:paraId="0994230B">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投标人认为采购文件、采购过程和中标结果使自己的权益受到伤害的，可向采购人以书面形式提出质疑。</w:t>
      </w:r>
    </w:p>
    <w:p w14:paraId="3F8A3AB3">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 xml:space="preserve">提出质疑的应当是参与所质疑项目采购活动的投标人。 </w:t>
      </w:r>
    </w:p>
    <w:p w14:paraId="4CBA2E77">
      <w:pPr>
        <w:pStyle w:val="3"/>
        <w:keepNext w:val="0"/>
        <w:keepLines w:val="0"/>
        <w:spacing w:line="594" w:lineRule="exact"/>
        <w:ind w:firstLine="560" w:firstLineChars="200"/>
        <w:outlineLvl w:val="0"/>
        <w:rPr>
          <w:rFonts w:ascii="方正黑体_GBK" w:hAnsi="方正黑体_GBK" w:eastAsia="方正黑体_GBK" w:cs="方正黑体_GBK"/>
          <w:sz w:val="28"/>
          <w:szCs w:val="28"/>
        </w:rPr>
      </w:pPr>
      <w:bookmarkStart w:id="205" w:name="_Toc224805713"/>
      <w:bookmarkStart w:id="206" w:name="_Toc21425671"/>
      <w:bookmarkStart w:id="207" w:name="_Toc29389"/>
      <w:r>
        <w:rPr>
          <w:rFonts w:hint="eastAsia" w:ascii="方正黑体_GBK" w:hAnsi="方正黑体_GBK" w:eastAsia="方正黑体_GBK" w:cs="方正黑体_GBK"/>
          <w:sz w:val="28"/>
          <w:szCs w:val="28"/>
        </w:rPr>
        <w:t>七、签订合同</w:t>
      </w:r>
      <w:bookmarkEnd w:id="205"/>
      <w:bookmarkEnd w:id="206"/>
      <w:bookmarkEnd w:id="207"/>
    </w:p>
    <w:p w14:paraId="0F9F5B53">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（一）中标人应当自接到采购人中标通知后二十日内，按照遴选文件和中标人响应文件的约定，与采购人签订书面合同。所签订的合同不得对遴选文件和中标人响应文件作实质性修改。</w:t>
      </w:r>
    </w:p>
    <w:p w14:paraId="5E6C5414">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（二）遴选文件、中标人的响应文件及澄清文件等，均为签订采购合同的依据。</w:t>
      </w:r>
    </w:p>
    <w:p w14:paraId="671F8B19">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bookmarkStart w:id="208" w:name="_Toc509321006"/>
      <w:bookmarkStart w:id="209" w:name="_Toc19113860"/>
      <w:r>
        <w:rPr>
          <w:rFonts w:hint="eastAsia" w:ascii="仿宋" w:hAnsi="仿宋" w:eastAsia="仿宋" w:cs="仿宋"/>
          <w:b w:val="0"/>
          <w:color w:val="auto"/>
          <w:kern w:val="2"/>
          <w:sz w:val="28"/>
          <w:szCs w:val="28"/>
          <w:lang w:val="en-US" w:eastAsia="zh-CN" w:bidi="ar-SA"/>
        </w:rPr>
        <w:br w:type="page"/>
      </w:r>
    </w:p>
    <w:p w14:paraId="5488B607">
      <w:pPr>
        <w:pStyle w:val="2"/>
        <w:rPr>
          <w:rFonts w:ascii="方正小标宋_GBK" w:hAnsi="方正小标宋_GBK" w:eastAsia="方正小标宋_GBK" w:cs="方正小标宋_GBK"/>
        </w:rPr>
      </w:pPr>
      <w:bookmarkStart w:id="210" w:name="_Toc25013"/>
      <w:bookmarkStart w:id="211" w:name="_Toc7756"/>
      <w:bookmarkStart w:id="212" w:name="_Toc224805714"/>
      <w:r>
        <w:rPr>
          <w:rFonts w:hint="eastAsia" w:ascii="方正小标宋_GBK" w:hAnsi="方正小标宋_GBK" w:eastAsia="方正小标宋_GBK" w:cs="方正小标宋_GBK"/>
        </w:rPr>
        <w:t>第六篇  合同主要条款和格式合同（样本）</w:t>
      </w:r>
      <w:bookmarkEnd w:id="210"/>
      <w:bookmarkEnd w:id="211"/>
      <w:bookmarkEnd w:id="212"/>
    </w:p>
    <w:p w14:paraId="07C24EE8">
      <w:bookmarkStart w:id="213" w:name="_Toc277084870"/>
      <w:bookmarkStart w:id="214" w:name="_Toc423596069"/>
      <w:bookmarkStart w:id="215" w:name="_Toc285722712"/>
    </w:p>
    <w:bookmarkEnd w:id="213"/>
    <w:bookmarkEnd w:id="214"/>
    <w:bookmarkEnd w:id="215"/>
    <w:p w14:paraId="2BD9E95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方正仿宋_GBK" w:hAnsi="方正仿宋_GBK" w:eastAsia="方正仿宋_GBK" w:cs="方正仿宋_GBK"/>
          <w:b/>
          <w:bCs/>
          <w:color w:val="auto"/>
          <w:sz w:val="32"/>
          <w:szCs w:val="32"/>
          <w:highlight w:val="none"/>
          <w:lang w:val="en-US" w:eastAsia="zh-CN"/>
        </w:rPr>
      </w:pPr>
      <w:bookmarkStart w:id="216" w:name="_Toc19184"/>
      <w:r>
        <w:rPr>
          <w:rFonts w:hint="eastAsia" w:ascii="方正仿宋_GBK" w:hAnsi="方正仿宋_GBK" w:eastAsia="方正仿宋_GBK" w:cs="方正仿宋_GBK"/>
          <w:b/>
          <w:bCs/>
          <w:color w:val="auto"/>
          <w:sz w:val="32"/>
          <w:szCs w:val="32"/>
          <w:highlight w:val="none"/>
        </w:rPr>
        <w:t>重庆市黔江中心医院消防维保服务</w:t>
      </w:r>
      <w:r>
        <w:rPr>
          <w:rFonts w:hint="eastAsia" w:ascii="方正仿宋_GBK" w:hAnsi="方正仿宋_GBK" w:eastAsia="方正仿宋_GBK" w:cs="方正仿宋_GBK"/>
          <w:b/>
          <w:bCs/>
          <w:color w:val="auto"/>
          <w:sz w:val="32"/>
          <w:szCs w:val="32"/>
          <w:highlight w:val="none"/>
          <w:lang w:val="en-US" w:eastAsia="zh-CN"/>
        </w:rPr>
        <w:t>合同（初稿）</w:t>
      </w:r>
      <w:bookmarkEnd w:id="216"/>
    </w:p>
    <w:p w14:paraId="63B356B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lang w:eastAsia="zh-CN"/>
        </w:rPr>
      </w:pPr>
    </w:p>
    <w:p w14:paraId="2B281EB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eastAsia="zh-CN"/>
        </w:rPr>
        <w:t>采购人</w:t>
      </w:r>
      <w:r>
        <w:rPr>
          <w:rFonts w:hint="eastAsia" w:ascii="方正仿宋_GBK" w:hAnsi="方正仿宋_GBK" w:eastAsia="方正仿宋_GBK" w:cs="方正仿宋_GBK"/>
          <w:color w:val="auto"/>
          <w:sz w:val="24"/>
          <w:szCs w:val="24"/>
          <w:highlight w:val="none"/>
        </w:rPr>
        <w:t>： 重庆</w:t>
      </w:r>
      <w:r>
        <w:rPr>
          <w:rFonts w:hint="eastAsia" w:ascii="方正仿宋_GBK" w:hAnsi="方正仿宋_GBK" w:eastAsia="方正仿宋_GBK" w:cs="方正仿宋_GBK"/>
          <w:color w:val="auto"/>
          <w:sz w:val="24"/>
          <w:szCs w:val="24"/>
          <w:highlight w:val="none"/>
          <w:lang w:val="en-US" w:eastAsia="zh-CN"/>
        </w:rPr>
        <w:t>市黔江中心</w:t>
      </w:r>
      <w:r>
        <w:rPr>
          <w:rFonts w:hint="eastAsia" w:ascii="方正仿宋_GBK" w:hAnsi="方正仿宋_GBK" w:eastAsia="方正仿宋_GBK" w:cs="方正仿宋_GBK"/>
          <w:color w:val="auto"/>
          <w:sz w:val="24"/>
          <w:szCs w:val="24"/>
          <w:highlight w:val="none"/>
        </w:rPr>
        <w:t>医院</w:t>
      </w:r>
    </w:p>
    <w:p w14:paraId="2C97775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eastAsia="zh-CN"/>
        </w:rPr>
        <w:t>供应商</w:t>
      </w:r>
      <w:r>
        <w:rPr>
          <w:rFonts w:hint="eastAsia" w:ascii="方正仿宋_GBK" w:hAnsi="方正仿宋_GBK" w:eastAsia="方正仿宋_GBK" w:cs="方正仿宋_GBK"/>
          <w:color w:val="auto"/>
          <w:sz w:val="24"/>
          <w:szCs w:val="24"/>
          <w:highlight w:val="none"/>
        </w:rPr>
        <w:t>：</w:t>
      </w:r>
    </w:p>
    <w:p w14:paraId="2E09634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甲乙双方根据《中华人民共和国民法典》、《中华人民共和国消防法》和《重庆市消防条例》等规定，  结合</w:t>
      </w:r>
      <w:r>
        <w:rPr>
          <w:rFonts w:hint="eastAsia" w:ascii="方正仿宋_GBK" w:hAnsi="方正仿宋_GBK" w:eastAsia="方正仿宋_GBK" w:cs="方正仿宋_GBK"/>
          <w:color w:val="auto"/>
          <w:sz w:val="24"/>
          <w:szCs w:val="24"/>
          <w:highlight w:val="none"/>
          <w:u w:val="single"/>
          <w:lang w:val="en-US" w:eastAsia="zh-CN"/>
        </w:rPr>
        <w:t xml:space="preserve">                    </w:t>
      </w:r>
      <w:r>
        <w:rPr>
          <w:rFonts w:hint="eastAsia" w:ascii="方正仿宋_GBK" w:hAnsi="方正仿宋_GBK" w:eastAsia="方正仿宋_GBK" w:cs="方正仿宋_GBK"/>
          <w:color w:val="auto"/>
          <w:sz w:val="24"/>
          <w:szCs w:val="24"/>
          <w:highlight w:val="none"/>
        </w:rPr>
        <w:t>具体情况，经协商达成如下协议，共同遵守：</w:t>
      </w:r>
    </w:p>
    <w:p w14:paraId="1FB223E7">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方正仿宋_GBK" w:hAnsi="方正仿宋_GBK" w:eastAsia="方正仿宋_GBK" w:cs="方正仿宋_GBK"/>
          <w:color w:val="auto"/>
          <w:sz w:val="24"/>
          <w:szCs w:val="24"/>
          <w:highlight w:val="none"/>
        </w:rPr>
      </w:pPr>
      <w:bookmarkStart w:id="217" w:name="_Toc23061"/>
      <w:r>
        <w:rPr>
          <w:rFonts w:hint="eastAsia" w:ascii="方正仿宋_GBK" w:hAnsi="方正仿宋_GBK" w:eastAsia="方正仿宋_GBK" w:cs="方正仿宋_GBK"/>
          <w:color w:val="auto"/>
          <w:sz w:val="24"/>
          <w:szCs w:val="24"/>
          <w:highlight w:val="none"/>
        </w:rPr>
        <w:t>一、项目基本信息：</w:t>
      </w:r>
      <w:bookmarkEnd w:id="217"/>
    </w:p>
    <w:p w14:paraId="26E6BC5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u w:val="single"/>
          <w:lang w:val="en-US" w:eastAsia="zh-CN"/>
        </w:rPr>
      </w:pPr>
      <w:r>
        <w:rPr>
          <w:rFonts w:hint="eastAsia" w:ascii="方正仿宋_GBK" w:hAnsi="方正仿宋_GBK" w:eastAsia="方正仿宋_GBK" w:cs="方正仿宋_GBK"/>
          <w:color w:val="auto"/>
          <w:sz w:val="24"/>
          <w:szCs w:val="24"/>
          <w:highlight w:val="none"/>
        </w:rPr>
        <w:t>1、项目名称：</w:t>
      </w:r>
      <w:r>
        <w:rPr>
          <w:rFonts w:hint="eastAsia" w:ascii="方正仿宋_GBK" w:hAnsi="方正仿宋_GBK" w:eastAsia="方正仿宋_GBK" w:cs="方正仿宋_GBK"/>
          <w:color w:val="auto"/>
          <w:sz w:val="24"/>
          <w:szCs w:val="24"/>
          <w:highlight w:val="none"/>
          <w:u w:val="single"/>
          <w:lang w:val="en-US" w:eastAsia="zh-CN"/>
        </w:rPr>
        <w:t xml:space="preserve">     </w:t>
      </w:r>
    </w:p>
    <w:p w14:paraId="13D267D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u w:val="single"/>
          <w:lang w:val="en-US" w:eastAsia="zh-CN"/>
        </w:rPr>
      </w:pPr>
      <w:r>
        <w:rPr>
          <w:rFonts w:hint="eastAsia" w:ascii="方正仿宋_GBK" w:hAnsi="方正仿宋_GBK" w:eastAsia="方正仿宋_GBK" w:cs="方正仿宋_GBK"/>
          <w:color w:val="auto"/>
          <w:sz w:val="24"/>
          <w:szCs w:val="24"/>
          <w:highlight w:val="none"/>
        </w:rPr>
        <w:t>2、项目地址：</w:t>
      </w:r>
      <w:r>
        <w:rPr>
          <w:rFonts w:hint="eastAsia" w:ascii="方正仿宋_GBK" w:hAnsi="方正仿宋_GBK" w:eastAsia="方正仿宋_GBK" w:cs="方正仿宋_GBK"/>
          <w:color w:val="auto"/>
          <w:sz w:val="24"/>
          <w:szCs w:val="24"/>
          <w:highlight w:val="none"/>
          <w:u w:val="single"/>
          <w:lang w:val="en-US" w:eastAsia="zh-CN"/>
        </w:rPr>
        <w:t xml:space="preserve">      </w:t>
      </w:r>
    </w:p>
    <w:p w14:paraId="3629185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3、服务范围（楼栋、楼层、区域、面积等）：</w:t>
      </w:r>
    </w:p>
    <w:p w14:paraId="7304D42C">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方正仿宋_GBK" w:hAnsi="方正仿宋_GBK" w:eastAsia="方正仿宋_GBK" w:cs="方正仿宋_GBK"/>
          <w:color w:val="auto"/>
          <w:sz w:val="24"/>
          <w:szCs w:val="24"/>
          <w:highlight w:val="none"/>
        </w:rPr>
      </w:pPr>
      <w:bookmarkStart w:id="218" w:name="_Toc17941"/>
      <w:r>
        <w:rPr>
          <w:rFonts w:hint="eastAsia" w:ascii="方正仿宋_GBK" w:hAnsi="方正仿宋_GBK" w:eastAsia="方正仿宋_GBK" w:cs="方正仿宋_GBK"/>
          <w:color w:val="auto"/>
          <w:sz w:val="24"/>
          <w:szCs w:val="24"/>
          <w:highlight w:val="none"/>
        </w:rPr>
        <w:t>二、维护保养内容：</w:t>
      </w:r>
      <w:r>
        <w:rPr>
          <w:rFonts w:hint="eastAsia" w:ascii="方正仿宋_GBK" w:hAnsi="方正仿宋_GBK" w:eastAsia="方正仿宋_GBK" w:cs="方正仿宋_GBK"/>
          <w:color w:val="auto"/>
          <w:sz w:val="24"/>
          <w:szCs w:val="24"/>
          <w:highlight w:val="none"/>
          <w:lang w:eastAsia="zh-CN"/>
        </w:rPr>
        <w:t>供应商</w:t>
      </w:r>
      <w:r>
        <w:rPr>
          <w:rFonts w:hint="eastAsia" w:ascii="方正仿宋_GBK" w:hAnsi="方正仿宋_GBK" w:eastAsia="方正仿宋_GBK" w:cs="方正仿宋_GBK"/>
          <w:color w:val="auto"/>
          <w:sz w:val="24"/>
          <w:szCs w:val="24"/>
          <w:highlight w:val="none"/>
        </w:rPr>
        <w:t>负责下列建筑消防设施的维护保养技术服务。</w:t>
      </w:r>
      <w:bookmarkEnd w:id="218"/>
    </w:p>
    <w:p w14:paraId="5B42627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 □消防供配电设施             □ 防烟排烟系统</w:t>
      </w:r>
    </w:p>
    <w:p w14:paraId="3891245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 □火灾自动报警系统           □ 应急照明和疏散指示系统</w:t>
      </w:r>
    </w:p>
    <w:p w14:paraId="1FC7A0F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 □消防给水及消火栓系统       □ 干粉灭火系统</w:t>
      </w:r>
    </w:p>
    <w:p w14:paraId="0C4C7C2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 □自动喷水灭火系统           □ 防火分隔设施</w:t>
      </w:r>
    </w:p>
    <w:p w14:paraId="16275BF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 □固定消防炮灭火系统         □ 建筑灭火器</w:t>
      </w:r>
    </w:p>
    <w:p w14:paraId="004C91B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 □泡沫灭火系统               □ 细水雾灭火系统</w:t>
      </w:r>
    </w:p>
    <w:p w14:paraId="46B1EB8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 □气体灭火系统               □ 水喷雾灭火系统</w:t>
      </w:r>
    </w:p>
    <w:p w14:paraId="1026FEC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rPr>
        <w:t xml:space="preserve"> □</w:t>
      </w:r>
      <w:r>
        <w:rPr>
          <w:rFonts w:hint="eastAsia" w:ascii="方正仿宋_GBK" w:hAnsi="方正仿宋_GBK" w:eastAsia="方正仿宋_GBK" w:cs="方正仿宋_GBK"/>
          <w:color w:val="auto"/>
          <w:sz w:val="24"/>
          <w:szCs w:val="24"/>
          <w:highlight w:val="none"/>
          <w:lang w:val="en-US" w:eastAsia="zh-CN"/>
        </w:rPr>
        <w:t>其他</w:t>
      </w:r>
    </w:p>
    <w:p w14:paraId="07A8A58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rPr>
        <w:t>按照测试记录表增加系统、设施</w:t>
      </w:r>
      <w:r>
        <w:rPr>
          <w:rFonts w:hint="eastAsia" w:ascii="方正仿宋_GBK" w:hAnsi="方正仿宋_GBK" w:eastAsia="方正仿宋_GBK" w:cs="方正仿宋_GBK"/>
          <w:color w:val="auto"/>
          <w:sz w:val="24"/>
          <w:szCs w:val="24"/>
          <w:highlight w:val="none"/>
          <w:u w:val="single"/>
          <w:lang w:val="en-US" w:eastAsia="zh-CN"/>
        </w:rPr>
        <w:t xml:space="preserve">                                  </w:t>
      </w:r>
    </w:p>
    <w:p w14:paraId="710FCBC6">
      <w:pPr>
        <w:keepNext w:val="0"/>
        <w:keepLines w:val="0"/>
        <w:pageBreakBefore w:val="0"/>
        <w:widowControl w:val="0"/>
        <w:numPr>
          <w:ilvl w:val="0"/>
          <w:numId w:val="17"/>
        </w:numPr>
        <w:kinsoku/>
        <w:wordWrap/>
        <w:overflowPunct/>
        <w:topLinePunct w:val="0"/>
        <w:autoSpaceDE/>
        <w:autoSpaceDN/>
        <w:bidi w:val="0"/>
        <w:adjustRightInd/>
        <w:snapToGrid/>
        <w:spacing w:line="400" w:lineRule="exact"/>
        <w:textAlignment w:val="auto"/>
        <w:outlineLvl w:val="0"/>
        <w:rPr>
          <w:rFonts w:hint="eastAsia" w:ascii="方正仿宋_GBK" w:hAnsi="方正仿宋_GBK" w:eastAsia="方正仿宋_GBK" w:cs="方正仿宋_GBK"/>
          <w:color w:val="auto"/>
          <w:sz w:val="24"/>
          <w:szCs w:val="24"/>
          <w:highlight w:val="none"/>
          <w:u w:val="single"/>
          <w:lang w:val="en-US" w:eastAsia="zh-CN"/>
        </w:rPr>
      </w:pPr>
      <w:bookmarkStart w:id="219" w:name="_Toc2042"/>
      <w:r>
        <w:rPr>
          <w:rFonts w:hint="eastAsia" w:ascii="方正仿宋_GBK" w:hAnsi="方正仿宋_GBK" w:eastAsia="方正仿宋_GBK" w:cs="方正仿宋_GBK"/>
          <w:color w:val="auto"/>
          <w:sz w:val="24"/>
          <w:szCs w:val="24"/>
          <w:highlight w:val="none"/>
        </w:rPr>
        <w:t>维护保养技术依据：</w:t>
      </w:r>
      <w:bookmarkEnd w:id="219"/>
      <w:r>
        <w:rPr>
          <w:rFonts w:hint="eastAsia" w:ascii="方正仿宋_GBK" w:hAnsi="方正仿宋_GBK" w:eastAsia="方正仿宋_GBK" w:cs="方正仿宋_GBK"/>
          <w:color w:val="auto"/>
          <w:sz w:val="24"/>
          <w:szCs w:val="24"/>
          <w:highlight w:val="none"/>
          <w:u w:val="single"/>
          <w:lang w:val="en-US" w:eastAsia="zh-CN"/>
        </w:rPr>
        <w:t xml:space="preserve">                         </w:t>
      </w:r>
    </w:p>
    <w:p w14:paraId="62B9D7EE">
      <w:pPr>
        <w:keepNext w:val="0"/>
        <w:keepLines w:val="0"/>
        <w:pageBreakBefore w:val="0"/>
        <w:widowControl w:val="0"/>
        <w:numPr>
          <w:ilvl w:val="0"/>
          <w:numId w:val="17"/>
        </w:numPr>
        <w:kinsoku/>
        <w:wordWrap/>
        <w:overflowPunct/>
        <w:topLinePunct w:val="0"/>
        <w:autoSpaceDE/>
        <w:autoSpaceDN/>
        <w:bidi w:val="0"/>
        <w:adjustRightInd/>
        <w:snapToGrid/>
        <w:spacing w:line="400" w:lineRule="exact"/>
        <w:textAlignment w:val="auto"/>
        <w:outlineLvl w:val="0"/>
        <w:rPr>
          <w:rFonts w:hint="eastAsia" w:ascii="方正仿宋_GBK" w:hAnsi="方正仿宋_GBK" w:eastAsia="方正仿宋_GBK" w:cs="方正仿宋_GBK"/>
          <w:color w:val="auto"/>
          <w:sz w:val="24"/>
          <w:szCs w:val="24"/>
          <w:highlight w:val="none"/>
        </w:rPr>
      </w:pPr>
      <w:bookmarkStart w:id="220" w:name="_Toc31248"/>
      <w:r>
        <w:rPr>
          <w:rFonts w:hint="eastAsia" w:ascii="方正仿宋_GBK" w:hAnsi="方正仿宋_GBK" w:eastAsia="方正仿宋_GBK" w:cs="方正仿宋_GBK"/>
          <w:color w:val="auto"/>
          <w:sz w:val="24"/>
          <w:szCs w:val="24"/>
          <w:highlight w:val="none"/>
          <w:lang w:eastAsia="zh-CN"/>
        </w:rPr>
        <w:t>采购人</w:t>
      </w:r>
      <w:r>
        <w:rPr>
          <w:rFonts w:hint="eastAsia" w:ascii="方正仿宋_GBK" w:hAnsi="方正仿宋_GBK" w:eastAsia="方正仿宋_GBK" w:cs="方正仿宋_GBK"/>
          <w:color w:val="auto"/>
          <w:sz w:val="24"/>
          <w:szCs w:val="24"/>
          <w:highlight w:val="none"/>
        </w:rPr>
        <w:t>的权利、义务：（甲乙双方自行商定）</w:t>
      </w:r>
      <w:bookmarkEnd w:id="220"/>
    </w:p>
    <w:p w14:paraId="5AB45C20">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方正仿宋_GBK" w:hAnsi="方正仿宋_GBK" w:eastAsia="方正仿宋_GBK" w:cs="方正仿宋_GBK"/>
          <w:color w:val="auto"/>
          <w:sz w:val="24"/>
          <w:szCs w:val="24"/>
          <w:highlight w:val="none"/>
        </w:rPr>
      </w:pPr>
      <w:bookmarkStart w:id="221" w:name="_Toc24622"/>
      <w:r>
        <w:rPr>
          <w:rFonts w:hint="eastAsia" w:ascii="方正仿宋_GBK" w:hAnsi="方正仿宋_GBK" w:eastAsia="方正仿宋_GBK" w:cs="方正仿宋_GBK"/>
          <w:color w:val="auto"/>
          <w:sz w:val="24"/>
          <w:szCs w:val="24"/>
          <w:highlight w:val="none"/>
        </w:rPr>
        <w:t>五、</w:t>
      </w:r>
      <w:r>
        <w:rPr>
          <w:rFonts w:hint="eastAsia" w:ascii="方正仿宋_GBK" w:hAnsi="方正仿宋_GBK" w:eastAsia="方正仿宋_GBK" w:cs="方正仿宋_GBK"/>
          <w:color w:val="auto"/>
          <w:sz w:val="24"/>
          <w:szCs w:val="24"/>
          <w:highlight w:val="none"/>
          <w:lang w:eastAsia="zh-CN"/>
        </w:rPr>
        <w:t>供应商</w:t>
      </w:r>
      <w:r>
        <w:rPr>
          <w:rFonts w:hint="eastAsia" w:ascii="方正仿宋_GBK" w:hAnsi="方正仿宋_GBK" w:eastAsia="方正仿宋_GBK" w:cs="方正仿宋_GBK"/>
          <w:color w:val="auto"/>
          <w:sz w:val="24"/>
          <w:szCs w:val="24"/>
          <w:highlight w:val="none"/>
        </w:rPr>
        <w:t>的权利、义务：（甲乙双方自行商定）</w:t>
      </w:r>
      <w:bookmarkEnd w:id="221"/>
    </w:p>
    <w:p w14:paraId="1F163B2E">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方正仿宋_GBK" w:hAnsi="方正仿宋_GBK" w:eastAsia="方正仿宋_GBK" w:cs="方正仿宋_GBK"/>
          <w:color w:val="auto"/>
          <w:sz w:val="24"/>
          <w:szCs w:val="24"/>
          <w:highlight w:val="none"/>
          <w:lang w:val="en-US" w:eastAsia="zh-CN"/>
        </w:rPr>
      </w:pPr>
      <w:bookmarkStart w:id="222" w:name="_Toc3491"/>
      <w:r>
        <w:rPr>
          <w:rFonts w:hint="eastAsia" w:ascii="方正仿宋_GBK" w:hAnsi="方正仿宋_GBK" w:eastAsia="方正仿宋_GBK" w:cs="方正仿宋_GBK"/>
          <w:color w:val="auto"/>
          <w:sz w:val="24"/>
          <w:szCs w:val="24"/>
          <w:highlight w:val="none"/>
        </w:rPr>
        <w:t>六、检查测试频次：</w:t>
      </w:r>
      <w:bookmarkEnd w:id="222"/>
      <w:r>
        <w:rPr>
          <w:rFonts w:hint="eastAsia" w:ascii="方正仿宋_GBK" w:hAnsi="方正仿宋_GBK" w:eastAsia="方正仿宋_GBK" w:cs="方正仿宋_GBK"/>
          <w:color w:val="auto"/>
          <w:sz w:val="24"/>
          <w:szCs w:val="24"/>
          <w:highlight w:val="none"/>
          <w:u w:val="single"/>
          <w:lang w:val="en-US" w:eastAsia="zh-CN"/>
        </w:rPr>
        <w:t xml:space="preserve">           </w:t>
      </w:r>
    </w:p>
    <w:p w14:paraId="699108A9">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方正仿宋_GBK" w:hAnsi="方正仿宋_GBK" w:eastAsia="方正仿宋_GBK" w:cs="方正仿宋_GBK"/>
          <w:color w:val="auto"/>
          <w:sz w:val="24"/>
          <w:szCs w:val="24"/>
          <w:highlight w:val="none"/>
        </w:rPr>
      </w:pPr>
      <w:bookmarkStart w:id="223" w:name="_Toc26375"/>
      <w:r>
        <w:rPr>
          <w:rFonts w:hint="eastAsia" w:ascii="方正仿宋_GBK" w:hAnsi="方正仿宋_GBK" w:eastAsia="方正仿宋_GBK" w:cs="方正仿宋_GBK"/>
          <w:color w:val="auto"/>
          <w:sz w:val="24"/>
          <w:szCs w:val="24"/>
          <w:highlight w:val="none"/>
        </w:rPr>
        <w:t>七、维保费用及支付方式、期限</w:t>
      </w:r>
      <w:bookmarkEnd w:id="223"/>
    </w:p>
    <w:p w14:paraId="74D555C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1、维保费用：</w:t>
      </w:r>
    </w:p>
    <w:p w14:paraId="11A599A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按每年人民币：</w:t>
      </w:r>
      <w:r>
        <w:rPr>
          <w:rFonts w:hint="eastAsia" w:ascii="方正仿宋_GBK" w:hAnsi="方正仿宋_GBK" w:eastAsia="方正仿宋_GBK" w:cs="方正仿宋_GBK"/>
          <w:color w:val="auto"/>
          <w:sz w:val="24"/>
          <w:szCs w:val="24"/>
          <w:highlight w:val="none"/>
          <w:u w:val="single"/>
        </w:rPr>
        <w:t xml:space="preserve">     圆整(￥：元整）</w:t>
      </w:r>
      <w:r>
        <w:rPr>
          <w:rFonts w:hint="eastAsia" w:ascii="方正仿宋_GBK" w:hAnsi="方正仿宋_GBK" w:eastAsia="方正仿宋_GBK" w:cs="方正仿宋_GBK"/>
          <w:color w:val="auto"/>
          <w:sz w:val="24"/>
          <w:szCs w:val="24"/>
          <w:highlight w:val="none"/>
        </w:rPr>
        <w:t>，此费用包括</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等费用，不包含</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费用。</w:t>
      </w:r>
    </w:p>
    <w:p w14:paraId="636C9B4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2、付款方式：</w:t>
      </w:r>
    </w:p>
    <w:p w14:paraId="1EA7EB2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本合同由双方签字生效后，按</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支付。即合同签订之日起每</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届满后，</w:t>
      </w:r>
      <w:r>
        <w:rPr>
          <w:rFonts w:hint="eastAsia" w:ascii="方正仿宋_GBK" w:hAnsi="方正仿宋_GBK" w:eastAsia="方正仿宋_GBK" w:cs="方正仿宋_GBK"/>
          <w:color w:val="auto"/>
          <w:sz w:val="24"/>
          <w:szCs w:val="24"/>
          <w:highlight w:val="none"/>
          <w:lang w:eastAsia="zh-CN"/>
        </w:rPr>
        <w:t>供应商</w:t>
      </w:r>
      <w:r>
        <w:rPr>
          <w:rFonts w:hint="eastAsia" w:ascii="方正仿宋_GBK" w:hAnsi="方正仿宋_GBK" w:eastAsia="方正仿宋_GBK" w:cs="方正仿宋_GBK"/>
          <w:color w:val="auto"/>
          <w:sz w:val="24"/>
          <w:szCs w:val="24"/>
          <w:highlight w:val="none"/>
        </w:rPr>
        <w:t>凭</w:t>
      </w:r>
      <w:r>
        <w:rPr>
          <w:rFonts w:hint="eastAsia" w:ascii="方正仿宋_GBK" w:hAnsi="方正仿宋_GBK" w:eastAsia="方正仿宋_GBK" w:cs="方正仿宋_GBK"/>
          <w:color w:val="auto"/>
          <w:sz w:val="24"/>
          <w:szCs w:val="24"/>
          <w:highlight w:val="none"/>
          <w:u w:val="single"/>
          <w:lang w:val="en-US" w:eastAsia="zh-CN"/>
        </w:rPr>
        <w:t xml:space="preserve">    </w:t>
      </w:r>
      <w:r>
        <w:rPr>
          <w:rFonts w:hint="eastAsia" w:ascii="方正仿宋_GBK" w:hAnsi="方正仿宋_GBK" w:eastAsia="方正仿宋_GBK" w:cs="方正仿宋_GBK"/>
          <w:color w:val="auto"/>
          <w:sz w:val="24"/>
          <w:szCs w:val="24"/>
          <w:highlight w:val="none"/>
        </w:rPr>
        <w:t>，由</w:t>
      </w:r>
      <w:r>
        <w:rPr>
          <w:rFonts w:hint="eastAsia" w:ascii="方正仿宋_GBK" w:hAnsi="方正仿宋_GBK" w:eastAsia="方正仿宋_GBK" w:cs="方正仿宋_GBK"/>
          <w:color w:val="auto"/>
          <w:sz w:val="24"/>
          <w:szCs w:val="24"/>
          <w:highlight w:val="none"/>
          <w:lang w:eastAsia="zh-CN"/>
        </w:rPr>
        <w:t>采购人</w:t>
      </w:r>
      <w:r>
        <w:rPr>
          <w:rFonts w:hint="eastAsia" w:ascii="方正仿宋_GBK" w:hAnsi="方正仿宋_GBK" w:eastAsia="方正仿宋_GBK" w:cs="方正仿宋_GBK"/>
          <w:color w:val="auto"/>
          <w:sz w:val="24"/>
          <w:szCs w:val="24"/>
          <w:highlight w:val="none"/>
        </w:rPr>
        <w:t>负责人员签字确认后，</w:t>
      </w:r>
      <w:r>
        <w:rPr>
          <w:rFonts w:hint="eastAsia" w:ascii="方正仿宋_GBK" w:hAnsi="方正仿宋_GBK" w:eastAsia="方正仿宋_GBK" w:cs="方正仿宋_GBK"/>
          <w:color w:val="auto"/>
          <w:sz w:val="24"/>
          <w:szCs w:val="24"/>
          <w:highlight w:val="none"/>
          <w:lang w:eastAsia="zh-CN"/>
        </w:rPr>
        <w:t>采购人</w:t>
      </w:r>
      <w:r>
        <w:rPr>
          <w:rFonts w:hint="eastAsia" w:ascii="方正仿宋_GBK" w:hAnsi="方正仿宋_GBK" w:eastAsia="方正仿宋_GBK" w:cs="方正仿宋_GBK"/>
          <w:color w:val="auto"/>
          <w:sz w:val="24"/>
          <w:szCs w:val="24"/>
          <w:highlight w:val="none"/>
        </w:rPr>
        <w:t>向</w:t>
      </w:r>
      <w:r>
        <w:rPr>
          <w:rFonts w:hint="eastAsia" w:ascii="方正仿宋_GBK" w:hAnsi="方正仿宋_GBK" w:eastAsia="方正仿宋_GBK" w:cs="方正仿宋_GBK"/>
          <w:color w:val="auto"/>
          <w:sz w:val="24"/>
          <w:szCs w:val="24"/>
          <w:highlight w:val="none"/>
          <w:lang w:eastAsia="zh-CN"/>
        </w:rPr>
        <w:t>供应商</w:t>
      </w:r>
      <w:r>
        <w:rPr>
          <w:rFonts w:hint="eastAsia" w:ascii="方正仿宋_GBK" w:hAnsi="方正仿宋_GBK" w:eastAsia="方正仿宋_GBK" w:cs="方正仿宋_GBK"/>
          <w:color w:val="auto"/>
          <w:sz w:val="24"/>
          <w:szCs w:val="24"/>
          <w:highlight w:val="none"/>
        </w:rPr>
        <w:t xml:space="preserve">支付维保款人民币大写： </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圆整(￥：元整）。</w:t>
      </w:r>
    </w:p>
    <w:p w14:paraId="5C6B3A5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3、合同执行期限：</w:t>
      </w:r>
    </w:p>
    <w:p w14:paraId="65396B8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本合同自 </w:t>
      </w:r>
      <w:r>
        <w:rPr>
          <w:rFonts w:hint="eastAsia" w:ascii="方正仿宋_GBK" w:hAnsi="方正仿宋_GBK" w:eastAsia="方正仿宋_GBK" w:cs="方正仿宋_GBK"/>
          <w:color w:val="auto"/>
          <w:sz w:val="24"/>
          <w:szCs w:val="24"/>
          <w:highlight w:val="none"/>
          <w:u w:val="single"/>
        </w:rPr>
        <w:t xml:space="preserve">XXXX </w:t>
      </w:r>
      <w:r>
        <w:rPr>
          <w:rFonts w:hint="eastAsia" w:ascii="方正仿宋_GBK" w:hAnsi="方正仿宋_GBK" w:eastAsia="方正仿宋_GBK" w:cs="方正仿宋_GBK"/>
          <w:color w:val="auto"/>
          <w:sz w:val="24"/>
          <w:szCs w:val="24"/>
          <w:highlight w:val="none"/>
        </w:rPr>
        <w:t>年</w:t>
      </w:r>
      <w:r>
        <w:rPr>
          <w:rFonts w:hint="eastAsia" w:ascii="方正仿宋_GBK" w:hAnsi="方正仿宋_GBK" w:eastAsia="方正仿宋_GBK" w:cs="方正仿宋_GBK"/>
          <w:color w:val="auto"/>
          <w:sz w:val="24"/>
          <w:szCs w:val="24"/>
          <w:highlight w:val="none"/>
          <w:u w:val="single"/>
        </w:rPr>
        <w:t xml:space="preserve"> XX </w:t>
      </w:r>
      <w:r>
        <w:rPr>
          <w:rFonts w:hint="eastAsia" w:ascii="方正仿宋_GBK" w:hAnsi="方正仿宋_GBK" w:eastAsia="方正仿宋_GBK" w:cs="方正仿宋_GBK"/>
          <w:color w:val="auto"/>
          <w:sz w:val="24"/>
          <w:szCs w:val="24"/>
          <w:highlight w:val="none"/>
        </w:rPr>
        <w:t xml:space="preserve">月 </w:t>
      </w:r>
      <w:r>
        <w:rPr>
          <w:rFonts w:hint="eastAsia" w:ascii="方正仿宋_GBK" w:hAnsi="方正仿宋_GBK" w:eastAsia="方正仿宋_GBK" w:cs="方正仿宋_GBK"/>
          <w:color w:val="auto"/>
          <w:sz w:val="24"/>
          <w:szCs w:val="24"/>
          <w:highlight w:val="none"/>
          <w:u w:val="single"/>
        </w:rPr>
        <w:t xml:space="preserve">XX </w:t>
      </w:r>
      <w:r>
        <w:rPr>
          <w:rFonts w:hint="eastAsia" w:ascii="方正仿宋_GBK" w:hAnsi="方正仿宋_GBK" w:eastAsia="方正仿宋_GBK" w:cs="方正仿宋_GBK"/>
          <w:color w:val="auto"/>
          <w:sz w:val="24"/>
          <w:szCs w:val="24"/>
          <w:highlight w:val="none"/>
        </w:rPr>
        <w:t>日起至</w:t>
      </w:r>
      <w:r>
        <w:rPr>
          <w:rFonts w:hint="eastAsia" w:ascii="方正仿宋_GBK" w:hAnsi="方正仿宋_GBK" w:eastAsia="方正仿宋_GBK" w:cs="方正仿宋_GBK"/>
          <w:color w:val="auto"/>
          <w:sz w:val="24"/>
          <w:szCs w:val="24"/>
          <w:highlight w:val="none"/>
          <w:u w:val="single"/>
        </w:rPr>
        <w:t xml:space="preserve"> XXXX</w:t>
      </w:r>
      <w:r>
        <w:rPr>
          <w:rFonts w:hint="eastAsia" w:ascii="方正仿宋_GBK" w:hAnsi="方正仿宋_GBK" w:eastAsia="方正仿宋_GBK" w:cs="方正仿宋_GBK"/>
          <w:color w:val="auto"/>
          <w:sz w:val="24"/>
          <w:szCs w:val="24"/>
          <w:highlight w:val="none"/>
        </w:rPr>
        <w:t xml:space="preserve"> 年 </w:t>
      </w:r>
      <w:r>
        <w:rPr>
          <w:rFonts w:hint="eastAsia" w:ascii="方正仿宋_GBK" w:hAnsi="方正仿宋_GBK" w:eastAsia="方正仿宋_GBK" w:cs="方正仿宋_GBK"/>
          <w:color w:val="auto"/>
          <w:sz w:val="24"/>
          <w:szCs w:val="24"/>
          <w:highlight w:val="none"/>
          <w:u w:val="single"/>
        </w:rPr>
        <w:t xml:space="preserve">XX </w:t>
      </w:r>
      <w:r>
        <w:rPr>
          <w:rFonts w:hint="eastAsia" w:ascii="方正仿宋_GBK" w:hAnsi="方正仿宋_GBK" w:eastAsia="方正仿宋_GBK" w:cs="方正仿宋_GBK"/>
          <w:color w:val="auto"/>
          <w:sz w:val="24"/>
          <w:szCs w:val="24"/>
          <w:highlight w:val="none"/>
        </w:rPr>
        <w:t>月</w:t>
      </w:r>
      <w:r>
        <w:rPr>
          <w:rFonts w:hint="eastAsia" w:ascii="方正仿宋_GBK" w:hAnsi="方正仿宋_GBK" w:eastAsia="方正仿宋_GBK" w:cs="方正仿宋_GBK"/>
          <w:color w:val="auto"/>
          <w:sz w:val="24"/>
          <w:szCs w:val="24"/>
          <w:highlight w:val="none"/>
          <w:u w:val="single"/>
        </w:rPr>
        <w:t xml:space="preserve"> XX </w:t>
      </w:r>
      <w:r>
        <w:rPr>
          <w:rFonts w:hint="eastAsia" w:ascii="方正仿宋_GBK" w:hAnsi="方正仿宋_GBK" w:eastAsia="方正仿宋_GBK" w:cs="方正仿宋_GBK"/>
          <w:color w:val="auto"/>
          <w:sz w:val="24"/>
          <w:szCs w:val="24"/>
          <w:highlight w:val="none"/>
        </w:rPr>
        <w:t>日止，为期</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年，合同有效期满后如无续签，合同自动失效。</w:t>
      </w:r>
    </w:p>
    <w:p w14:paraId="0C6388DB">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方正仿宋_GBK" w:hAnsi="方正仿宋_GBK" w:eastAsia="方正仿宋_GBK" w:cs="方正仿宋_GBK"/>
          <w:color w:val="auto"/>
          <w:sz w:val="24"/>
          <w:szCs w:val="24"/>
          <w:highlight w:val="none"/>
        </w:rPr>
      </w:pPr>
      <w:bookmarkStart w:id="224" w:name="_Toc29183"/>
      <w:r>
        <w:rPr>
          <w:rFonts w:hint="eastAsia" w:ascii="方正仿宋_GBK" w:hAnsi="方正仿宋_GBK" w:eastAsia="方正仿宋_GBK" w:cs="方正仿宋_GBK"/>
          <w:color w:val="auto"/>
          <w:sz w:val="24"/>
          <w:szCs w:val="24"/>
          <w:highlight w:val="none"/>
        </w:rPr>
        <w:t>八、违约责任：（甲乙双方自行商定）</w:t>
      </w:r>
      <w:bookmarkEnd w:id="224"/>
    </w:p>
    <w:p w14:paraId="7491F47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九、解决合同纠纷的方式：本合同履行过程中发生争议，双方应协商解决，协商不成时，可由仲裁</w:t>
      </w:r>
      <w:r>
        <w:rPr>
          <w:rFonts w:hint="eastAsia" w:ascii="方正仿宋_GBK" w:hAnsi="方正仿宋_GBK" w:eastAsia="方正仿宋_GBK" w:cs="方正仿宋_GBK"/>
          <w:color w:val="auto"/>
          <w:sz w:val="24"/>
          <w:szCs w:val="24"/>
          <w:highlight w:val="none"/>
          <w:u w:val="single"/>
          <w:lang w:val="en-US" w:eastAsia="zh-CN"/>
        </w:rPr>
        <w:t xml:space="preserve">     </w:t>
      </w:r>
      <w:r>
        <w:rPr>
          <w:rFonts w:hint="eastAsia" w:ascii="方正仿宋_GBK" w:hAnsi="方正仿宋_GBK" w:eastAsia="方正仿宋_GBK" w:cs="方正仿宋_GBK"/>
          <w:color w:val="auto"/>
          <w:sz w:val="24"/>
          <w:szCs w:val="24"/>
          <w:highlight w:val="none"/>
        </w:rPr>
        <w:t>机关 仲裁或向法院起诉的方式解决。</w:t>
      </w:r>
    </w:p>
    <w:p w14:paraId="12E0EE63">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方正仿宋_GBK" w:hAnsi="方正仿宋_GBK" w:eastAsia="方正仿宋_GBK" w:cs="方正仿宋_GBK"/>
          <w:color w:val="auto"/>
          <w:sz w:val="24"/>
          <w:szCs w:val="24"/>
          <w:highlight w:val="none"/>
        </w:rPr>
      </w:pPr>
      <w:bookmarkStart w:id="225" w:name="_Toc5727"/>
      <w:r>
        <w:rPr>
          <w:rFonts w:hint="eastAsia" w:ascii="方正仿宋_GBK" w:hAnsi="方正仿宋_GBK" w:eastAsia="方正仿宋_GBK" w:cs="方正仿宋_GBK"/>
          <w:color w:val="auto"/>
          <w:sz w:val="24"/>
          <w:szCs w:val="24"/>
          <w:highlight w:val="none"/>
        </w:rPr>
        <w:t>十、双方协商的其他事项：（甲乙双方自行商定）。</w:t>
      </w:r>
      <w:bookmarkEnd w:id="225"/>
    </w:p>
    <w:p w14:paraId="45744C24">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方正仿宋_GBK" w:hAnsi="方正仿宋_GBK" w:eastAsia="方正仿宋_GBK" w:cs="方正仿宋_GBK"/>
          <w:color w:val="auto"/>
          <w:sz w:val="24"/>
          <w:szCs w:val="24"/>
          <w:highlight w:val="none"/>
        </w:rPr>
      </w:pPr>
      <w:bookmarkStart w:id="226" w:name="_Toc31066"/>
      <w:r>
        <w:rPr>
          <w:rFonts w:hint="eastAsia" w:ascii="方正仿宋_GBK" w:hAnsi="方正仿宋_GBK" w:eastAsia="方正仿宋_GBK" w:cs="方正仿宋_GBK"/>
          <w:color w:val="auto"/>
          <w:sz w:val="24"/>
          <w:szCs w:val="24"/>
          <w:highlight w:val="none"/>
        </w:rPr>
        <w:t>十一、合同份数：本合同一式</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份，甲、乙双方各执</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份。</w:t>
      </w:r>
      <w:bookmarkEnd w:id="226"/>
    </w:p>
    <w:tbl>
      <w:tblPr>
        <w:tblStyle w:val="246"/>
        <w:tblW w:w="9654" w:type="dxa"/>
        <w:tblInd w:w="26"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4571"/>
        <w:gridCol w:w="5083"/>
      </w:tblGrid>
      <w:tr w14:paraId="1904422F">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3692" w:hRule="atLeast"/>
        </w:trPr>
        <w:tc>
          <w:tcPr>
            <w:tcW w:w="4571" w:type="dxa"/>
            <w:tcBorders>
              <w:right w:val="single" w:color="000000" w:sz="2" w:space="0"/>
            </w:tcBorders>
            <w:noWrap w:val="0"/>
            <w:vAlign w:val="top"/>
          </w:tcPr>
          <w:p w14:paraId="115DB7CC">
            <w:pPr>
              <w:keepNext w:val="0"/>
              <w:keepLines w:val="0"/>
              <w:pageBreakBefore w:val="0"/>
              <w:widowControl w:val="0"/>
              <w:kinsoku/>
              <w:wordWrap/>
              <w:overflowPunct/>
              <w:topLinePunct w:val="0"/>
              <w:autoSpaceDE/>
              <w:autoSpaceDN/>
              <w:bidi w:val="0"/>
              <w:adjustRightInd/>
              <w:snapToGrid/>
              <w:spacing w:line="400" w:lineRule="exact"/>
              <w:ind w:left="117" w:right="2467" w:firstLine="27"/>
              <w:textAlignment w:val="auto"/>
              <w:rPr>
                <w:rFonts w:hint="eastAsia" w:ascii="方正仿宋_GBK" w:hAnsi="方正仿宋_GBK" w:eastAsia="方正仿宋_GBK" w:cs="方正仿宋_GBK"/>
                <w:color w:val="auto"/>
                <w:spacing w:val="1"/>
                <w:sz w:val="24"/>
                <w:szCs w:val="24"/>
                <w:highlight w:val="none"/>
              </w:rPr>
            </w:pPr>
            <w:r>
              <w:rPr>
                <w:rFonts w:hint="eastAsia" w:ascii="方正仿宋_GBK" w:hAnsi="方正仿宋_GBK" w:eastAsia="方正仿宋_GBK" w:cs="方正仿宋_GBK"/>
                <w:color w:val="auto"/>
                <w:spacing w:val="-7"/>
                <w:sz w:val="24"/>
                <w:szCs w:val="24"/>
                <w:highlight w:val="none"/>
                <w:lang w:eastAsia="zh-CN"/>
              </w:rPr>
              <w:t>采购人</w:t>
            </w:r>
            <w:r>
              <w:rPr>
                <w:rFonts w:hint="eastAsia" w:ascii="方正仿宋_GBK" w:hAnsi="方正仿宋_GBK" w:eastAsia="方正仿宋_GBK" w:cs="方正仿宋_GBK"/>
                <w:color w:val="auto"/>
                <w:spacing w:val="-7"/>
                <w:sz w:val="24"/>
                <w:szCs w:val="24"/>
                <w:highlight w:val="none"/>
              </w:rPr>
              <w:t>（盖章</w:t>
            </w:r>
            <w:r>
              <w:rPr>
                <w:rFonts w:hint="eastAsia" w:ascii="方正仿宋_GBK" w:hAnsi="方正仿宋_GBK" w:eastAsia="方正仿宋_GBK" w:cs="方正仿宋_GBK"/>
                <w:color w:val="auto"/>
                <w:spacing w:val="-24"/>
                <w:sz w:val="24"/>
                <w:szCs w:val="24"/>
                <w:highlight w:val="none"/>
              </w:rPr>
              <w:t>）：</w:t>
            </w:r>
            <w:r>
              <w:rPr>
                <w:rFonts w:hint="eastAsia" w:ascii="方正仿宋_GBK" w:hAnsi="方正仿宋_GBK" w:eastAsia="方正仿宋_GBK" w:cs="方正仿宋_GBK"/>
                <w:color w:val="auto"/>
                <w:spacing w:val="1"/>
                <w:sz w:val="24"/>
                <w:szCs w:val="24"/>
                <w:highlight w:val="none"/>
              </w:rPr>
              <w:t xml:space="preserve"> </w:t>
            </w:r>
          </w:p>
          <w:p w14:paraId="65ACF02A">
            <w:pPr>
              <w:keepNext w:val="0"/>
              <w:keepLines w:val="0"/>
              <w:pageBreakBefore w:val="0"/>
              <w:widowControl w:val="0"/>
              <w:kinsoku/>
              <w:wordWrap/>
              <w:overflowPunct/>
              <w:topLinePunct w:val="0"/>
              <w:autoSpaceDE/>
              <w:autoSpaceDN/>
              <w:bidi w:val="0"/>
              <w:adjustRightInd/>
              <w:snapToGrid/>
              <w:spacing w:line="400" w:lineRule="exact"/>
              <w:ind w:left="117" w:right="2467" w:firstLine="27"/>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12"/>
                <w:sz w:val="24"/>
                <w:szCs w:val="24"/>
                <w:highlight w:val="none"/>
              </w:rPr>
              <w:t>地址：</w:t>
            </w:r>
          </w:p>
          <w:p w14:paraId="4625C622">
            <w:pPr>
              <w:keepNext w:val="0"/>
              <w:keepLines w:val="0"/>
              <w:pageBreakBefore w:val="0"/>
              <w:widowControl w:val="0"/>
              <w:kinsoku/>
              <w:wordWrap/>
              <w:overflowPunct/>
              <w:topLinePunct w:val="0"/>
              <w:autoSpaceDE/>
              <w:autoSpaceDN/>
              <w:bidi w:val="0"/>
              <w:adjustRightInd/>
              <w:snapToGrid/>
              <w:spacing w:line="400" w:lineRule="exact"/>
              <w:ind w:left="116" w:right="2678" w:firstLine="1"/>
              <w:textAlignment w:val="auto"/>
              <w:rPr>
                <w:rFonts w:hint="eastAsia" w:ascii="方正仿宋_GBK" w:hAnsi="方正仿宋_GBK" w:eastAsia="方正仿宋_GBK" w:cs="方正仿宋_GBK"/>
                <w:color w:val="auto"/>
                <w:spacing w:val="3"/>
                <w:sz w:val="24"/>
                <w:szCs w:val="24"/>
                <w:highlight w:val="none"/>
              </w:rPr>
            </w:pPr>
            <w:r>
              <w:rPr>
                <w:rFonts w:hint="eastAsia" w:ascii="方正仿宋_GBK" w:hAnsi="方正仿宋_GBK" w:eastAsia="方正仿宋_GBK" w:cs="方正仿宋_GBK"/>
                <w:color w:val="auto"/>
                <w:spacing w:val="-10"/>
                <w:sz w:val="24"/>
                <w:szCs w:val="24"/>
                <w:highlight w:val="none"/>
              </w:rPr>
              <w:t>法定代表人：</w:t>
            </w:r>
            <w:r>
              <w:rPr>
                <w:rFonts w:hint="eastAsia" w:ascii="方正仿宋_GBK" w:hAnsi="方正仿宋_GBK" w:eastAsia="方正仿宋_GBK" w:cs="方正仿宋_GBK"/>
                <w:color w:val="auto"/>
                <w:spacing w:val="3"/>
                <w:sz w:val="24"/>
                <w:szCs w:val="24"/>
                <w:highlight w:val="none"/>
              </w:rPr>
              <w:t xml:space="preserve"> </w:t>
            </w:r>
          </w:p>
          <w:p w14:paraId="6426D961">
            <w:pPr>
              <w:keepNext w:val="0"/>
              <w:keepLines w:val="0"/>
              <w:pageBreakBefore w:val="0"/>
              <w:widowControl w:val="0"/>
              <w:kinsoku/>
              <w:wordWrap/>
              <w:overflowPunct/>
              <w:topLinePunct w:val="0"/>
              <w:autoSpaceDE/>
              <w:autoSpaceDN/>
              <w:bidi w:val="0"/>
              <w:adjustRightInd/>
              <w:snapToGrid/>
              <w:spacing w:line="400" w:lineRule="exact"/>
              <w:ind w:left="116" w:right="2678" w:firstLine="1"/>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10"/>
                <w:sz w:val="24"/>
                <w:szCs w:val="24"/>
                <w:highlight w:val="none"/>
              </w:rPr>
              <w:t>委托代理人：</w:t>
            </w:r>
          </w:p>
          <w:p w14:paraId="1C57BC4B">
            <w:pPr>
              <w:keepNext w:val="0"/>
              <w:keepLines w:val="0"/>
              <w:pageBreakBefore w:val="0"/>
              <w:widowControl w:val="0"/>
              <w:kinsoku/>
              <w:wordWrap/>
              <w:overflowPunct/>
              <w:topLinePunct w:val="0"/>
              <w:autoSpaceDE/>
              <w:autoSpaceDN/>
              <w:bidi w:val="0"/>
              <w:adjustRightInd/>
              <w:snapToGrid/>
              <w:spacing w:line="400" w:lineRule="exact"/>
              <w:ind w:left="133" w:right="3307" w:firstLine="9"/>
              <w:textAlignment w:val="auto"/>
              <w:rPr>
                <w:rFonts w:hint="eastAsia" w:ascii="方正仿宋_GBK" w:hAnsi="方正仿宋_GBK" w:eastAsia="方正仿宋_GBK" w:cs="方正仿宋_GBK"/>
                <w:color w:val="auto"/>
                <w:spacing w:val="1"/>
                <w:sz w:val="24"/>
                <w:szCs w:val="24"/>
                <w:highlight w:val="none"/>
              </w:rPr>
            </w:pPr>
            <w:r>
              <w:rPr>
                <w:rFonts w:hint="eastAsia" w:ascii="方正仿宋_GBK" w:hAnsi="方正仿宋_GBK" w:eastAsia="方正仿宋_GBK" w:cs="方正仿宋_GBK"/>
                <w:color w:val="auto"/>
                <w:spacing w:val="-27"/>
                <w:sz w:val="24"/>
                <w:szCs w:val="24"/>
                <w:highlight w:val="none"/>
              </w:rPr>
              <w:t>电话：</w:t>
            </w:r>
            <w:r>
              <w:rPr>
                <w:rFonts w:hint="eastAsia" w:ascii="方正仿宋_GBK" w:hAnsi="方正仿宋_GBK" w:eastAsia="方正仿宋_GBK" w:cs="方正仿宋_GBK"/>
                <w:color w:val="auto"/>
                <w:spacing w:val="1"/>
                <w:sz w:val="24"/>
                <w:szCs w:val="24"/>
                <w:highlight w:val="none"/>
              </w:rPr>
              <w:t xml:space="preserve"> </w:t>
            </w:r>
          </w:p>
          <w:p w14:paraId="6ACCDEAD">
            <w:pPr>
              <w:keepNext w:val="0"/>
              <w:keepLines w:val="0"/>
              <w:pageBreakBefore w:val="0"/>
              <w:widowControl w:val="0"/>
              <w:kinsoku/>
              <w:wordWrap/>
              <w:overflowPunct/>
              <w:topLinePunct w:val="0"/>
              <w:autoSpaceDE/>
              <w:autoSpaceDN/>
              <w:bidi w:val="0"/>
              <w:adjustRightInd/>
              <w:snapToGrid/>
              <w:spacing w:line="400" w:lineRule="exact"/>
              <w:ind w:left="133" w:right="3307" w:firstLine="9"/>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24"/>
                <w:sz w:val="24"/>
                <w:szCs w:val="24"/>
                <w:highlight w:val="none"/>
              </w:rPr>
              <w:t>邮编：</w:t>
            </w:r>
          </w:p>
          <w:p w14:paraId="004906B6">
            <w:pPr>
              <w:keepNext w:val="0"/>
              <w:keepLines w:val="0"/>
              <w:pageBreakBefore w:val="0"/>
              <w:widowControl w:val="0"/>
              <w:kinsoku/>
              <w:wordWrap/>
              <w:overflowPunct/>
              <w:topLinePunct w:val="0"/>
              <w:autoSpaceDE/>
              <w:autoSpaceDN/>
              <w:bidi w:val="0"/>
              <w:adjustRightInd/>
              <w:snapToGrid/>
              <w:spacing w:line="400" w:lineRule="exact"/>
              <w:ind w:left="120" w:right="2887" w:hanging="2"/>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11"/>
                <w:sz w:val="24"/>
                <w:szCs w:val="24"/>
                <w:highlight w:val="none"/>
              </w:rPr>
              <w:t>开户银行：</w:t>
            </w:r>
            <w:r>
              <w:rPr>
                <w:rFonts w:hint="eastAsia" w:ascii="方正仿宋_GBK" w:hAnsi="方正仿宋_GBK" w:eastAsia="方正仿宋_GBK" w:cs="方正仿宋_GBK"/>
                <w:color w:val="auto"/>
                <w:sz w:val="24"/>
                <w:szCs w:val="24"/>
                <w:highlight w:val="none"/>
              </w:rPr>
              <w:t xml:space="preserve"> </w:t>
            </w:r>
          </w:p>
          <w:p w14:paraId="7C923C97">
            <w:pPr>
              <w:keepNext w:val="0"/>
              <w:keepLines w:val="0"/>
              <w:pageBreakBefore w:val="0"/>
              <w:widowControl w:val="0"/>
              <w:kinsoku/>
              <w:wordWrap/>
              <w:overflowPunct/>
              <w:topLinePunct w:val="0"/>
              <w:autoSpaceDE/>
              <w:autoSpaceDN/>
              <w:bidi w:val="0"/>
              <w:adjustRightInd/>
              <w:snapToGrid/>
              <w:spacing w:line="400" w:lineRule="exact"/>
              <w:ind w:left="120" w:right="2887" w:hanging="2"/>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13"/>
                <w:sz w:val="24"/>
                <w:szCs w:val="24"/>
                <w:highlight w:val="none"/>
              </w:rPr>
              <w:t>账号：</w:t>
            </w:r>
          </w:p>
        </w:tc>
        <w:tc>
          <w:tcPr>
            <w:tcW w:w="5083" w:type="dxa"/>
            <w:tcBorders>
              <w:left w:val="single" w:color="000000" w:sz="2" w:space="0"/>
            </w:tcBorders>
            <w:noWrap w:val="0"/>
            <w:vAlign w:val="top"/>
          </w:tcPr>
          <w:p w14:paraId="6B11ABCE">
            <w:pPr>
              <w:keepNext w:val="0"/>
              <w:keepLines w:val="0"/>
              <w:pageBreakBefore w:val="0"/>
              <w:widowControl w:val="0"/>
              <w:kinsoku/>
              <w:wordWrap/>
              <w:overflowPunct/>
              <w:topLinePunct w:val="0"/>
              <w:autoSpaceDE/>
              <w:autoSpaceDN/>
              <w:bidi w:val="0"/>
              <w:adjustRightInd/>
              <w:snapToGrid/>
              <w:spacing w:line="400" w:lineRule="exact"/>
              <w:ind w:left="125" w:right="2583" w:firstLine="17"/>
              <w:textAlignment w:val="auto"/>
              <w:rPr>
                <w:rFonts w:hint="eastAsia" w:ascii="方正仿宋_GBK" w:hAnsi="方正仿宋_GBK" w:eastAsia="方正仿宋_GBK" w:cs="方正仿宋_GBK"/>
                <w:color w:val="auto"/>
                <w:spacing w:val="1"/>
                <w:sz w:val="24"/>
                <w:szCs w:val="24"/>
                <w:highlight w:val="none"/>
              </w:rPr>
            </w:pPr>
            <w:r>
              <w:rPr>
                <w:rFonts w:hint="eastAsia" w:ascii="方正仿宋_GBK" w:hAnsi="方正仿宋_GBK" w:eastAsia="方正仿宋_GBK" w:cs="方正仿宋_GBK"/>
                <w:color w:val="auto"/>
                <w:spacing w:val="-5"/>
                <w:sz w:val="24"/>
                <w:szCs w:val="24"/>
                <w:highlight w:val="none"/>
                <w:lang w:eastAsia="zh-CN"/>
              </w:rPr>
              <w:t>供应商</w:t>
            </w:r>
            <w:r>
              <w:rPr>
                <w:rFonts w:hint="eastAsia" w:ascii="方正仿宋_GBK" w:hAnsi="方正仿宋_GBK" w:eastAsia="方正仿宋_GBK" w:cs="方正仿宋_GBK"/>
                <w:color w:val="auto"/>
                <w:spacing w:val="-5"/>
                <w:sz w:val="24"/>
                <w:szCs w:val="24"/>
                <w:highlight w:val="none"/>
              </w:rPr>
              <w:t>（盖章</w:t>
            </w:r>
            <w:r>
              <w:rPr>
                <w:rFonts w:hint="eastAsia" w:ascii="方正仿宋_GBK" w:hAnsi="方正仿宋_GBK" w:eastAsia="方正仿宋_GBK" w:cs="方正仿宋_GBK"/>
                <w:color w:val="auto"/>
                <w:spacing w:val="-24"/>
                <w:sz w:val="24"/>
                <w:szCs w:val="24"/>
                <w:highlight w:val="none"/>
              </w:rPr>
              <w:t>）：</w:t>
            </w:r>
            <w:r>
              <w:rPr>
                <w:rFonts w:hint="eastAsia" w:ascii="方正仿宋_GBK" w:hAnsi="方正仿宋_GBK" w:eastAsia="方正仿宋_GBK" w:cs="方正仿宋_GBK"/>
                <w:color w:val="auto"/>
                <w:spacing w:val="1"/>
                <w:sz w:val="24"/>
                <w:szCs w:val="24"/>
                <w:highlight w:val="none"/>
              </w:rPr>
              <w:t xml:space="preserve"> </w:t>
            </w:r>
          </w:p>
          <w:p w14:paraId="1C87407B">
            <w:pPr>
              <w:keepNext w:val="0"/>
              <w:keepLines w:val="0"/>
              <w:pageBreakBefore w:val="0"/>
              <w:widowControl w:val="0"/>
              <w:kinsoku/>
              <w:wordWrap/>
              <w:overflowPunct/>
              <w:topLinePunct w:val="0"/>
              <w:autoSpaceDE/>
              <w:autoSpaceDN/>
              <w:bidi w:val="0"/>
              <w:adjustRightInd/>
              <w:snapToGrid/>
              <w:spacing w:line="400" w:lineRule="exact"/>
              <w:ind w:left="125" w:right="2583" w:firstLine="17"/>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12"/>
                <w:sz w:val="24"/>
                <w:szCs w:val="24"/>
                <w:highlight w:val="none"/>
              </w:rPr>
              <w:t>地址：</w:t>
            </w:r>
          </w:p>
          <w:p w14:paraId="4DAC8019">
            <w:pPr>
              <w:keepNext w:val="0"/>
              <w:keepLines w:val="0"/>
              <w:pageBreakBefore w:val="0"/>
              <w:widowControl w:val="0"/>
              <w:kinsoku/>
              <w:wordWrap/>
              <w:overflowPunct/>
              <w:topLinePunct w:val="0"/>
              <w:autoSpaceDE/>
              <w:autoSpaceDN/>
              <w:bidi w:val="0"/>
              <w:adjustRightInd/>
              <w:snapToGrid/>
              <w:spacing w:line="400" w:lineRule="exact"/>
              <w:ind w:left="124" w:right="2794" w:firstLine="1"/>
              <w:textAlignment w:val="auto"/>
              <w:rPr>
                <w:rFonts w:hint="eastAsia" w:ascii="方正仿宋_GBK" w:hAnsi="方正仿宋_GBK" w:eastAsia="方正仿宋_GBK" w:cs="方正仿宋_GBK"/>
                <w:color w:val="auto"/>
                <w:spacing w:val="3"/>
                <w:sz w:val="24"/>
                <w:szCs w:val="24"/>
                <w:highlight w:val="none"/>
              </w:rPr>
            </w:pPr>
            <w:r>
              <w:rPr>
                <w:rFonts w:hint="eastAsia" w:ascii="方正仿宋_GBK" w:hAnsi="方正仿宋_GBK" w:eastAsia="方正仿宋_GBK" w:cs="方正仿宋_GBK"/>
                <w:color w:val="auto"/>
                <w:spacing w:val="-10"/>
                <w:sz w:val="24"/>
                <w:szCs w:val="24"/>
                <w:highlight w:val="none"/>
              </w:rPr>
              <w:t>法定代表人：</w:t>
            </w:r>
            <w:r>
              <w:rPr>
                <w:rFonts w:hint="eastAsia" w:ascii="方正仿宋_GBK" w:hAnsi="方正仿宋_GBK" w:eastAsia="方正仿宋_GBK" w:cs="方正仿宋_GBK"/>
                <w:color w:val="auto"/>
                <w:spacing w:val="3"/>
                <w:sz w:val="24"/>
                <w:szCs w:val="24"/>
                <w:highlight w:val="none"/>
              </w:rPr>
              <w:t xml:space="preserve"> </w:t>
            </w:r>
          </w:p>
          <w:p w14:paraId="0B4A88A6">
            <w:pPr>
              <w:keepNext w:val="0"/>
              <w:keepLines w:val="0"/>
              <w:pageBreakBefore w:val="0"/>
              <w:widowControl w:val="0"/>
              <w:kinsoku/>
              <w:wordWrap/>
              <w:overflowPunct/>
              <w:topLinePunct w:val="0"/>
              <w:autoSpaceDE/>
              <w:autoSpaceDN/>
              <w:bidi w:val="0"/>
              <w:adjustRightInd/>
              <w:snapToGrid/>
              <w:spacing w:line="400" w:lineRule="exact"/>
              <w:ind w:left="124" w:right="2794" w:firstLine="1"/>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10"/>
                <w:sz w:val="24"/>
                <w:szCs w:val="24"/>
                <w:highlight w:val="none"/>
              </w:rPr>
              <w:t>委托代理人：</w:t>
            </w:r>
          </w:p>
          <w:p w14:paraId="5C1C618F">
            <w:pPr>
              <w:keepNext w:val="0"/>
              <w:keepLines w:val="0"/>
              <w:pageBreakBefore w:val="0"/>
              <w:widowControl w:val="0"/>
              <w:kinsoku/>
              <w:wordWrap/>
              <w:overflowPunct/>
              <w:topLinePunct w:val="0"/>
              <w:autoSpaceDE/>
              <w:autoSpaceDN/>
              <w:bidi w:val="0"/>
              <w:adjustRightInd/>
              <w:snapToGrid/>
              <w:spacing w:line="400" w:lineRule="exact"/>
              <w:ind w:left="141" w:right="3423" w:firstLine="9"/>
              <w:textAlignment w:val="auto"/>
              <w:rPr>
                <w:rFonts w:hint="eastAsia" w:ascii="方正仿宋_GBK" w:hAnsi="方正仿宋_GBK" w:eastAsia="方正仿宋_GBK" w:cs="方正仿宋_GBK"/>
                <w:color w:val="auto"/>
                <w:spacing w:val="1"/>
                <w:sz w:val="24"/>
                <w:szCs w:val="24"/>
                <w:highlight w:val="none"/>
              </w:rPr>
            </w:pPr>
            <w:r>
              <w:rPr>
                <w:rFonts w:hint="eastAsia" w:ascii="方正仿宋_GBK" w:hAnsi="方正仿宋_GBK" w:eastAsia="方正仿宋_GBK" w:cs="方正仿宋_GBK"/>
                <w:color w:val="auto"/>
                <w:spacing w:val="-27"/>
                <w:sz w:val="24"/>
                <w:szCs w:val="24"/>
                <w:highlight w:val="none"/>
              </w:rPr>
              <w:t>电话：</w:t>
            </w:r>
            <w:r>
              <w:rPr>
                <w:rFonts w:hint="eastAsia" w:ascii="方正仿宋_GBK" w:hAnsi="方正仿宋_GBK" w:eastAsia="方正仿宋_GBK" w:cs="方正仿宋_GBK"/>
                <w:color w:val="auto"/>
                <w:spacing w:val="1"/>
                <w:sz w:val="24"/>
                <w:szCs w:val="24"/>
                <w:highlight w:val="none"/>
              </w:rPr>
              <w:t xml:space="preserve"> </w:t>
            </w:r>
          </w:p>
          <w:p w14:paraId="2DAA41B5">
            <w:pPr>
              <w:keepNext w:val="0"/>
              <w:keepLines w:val="0"/>
              <w:pageBreakBefore w:val="0"/>
              <w:widowControl w:val="0"/>
              <w:kinsoku/>
              <w:wordWrap/>
              <w:overflowPunct/>
              <w:topLinePunct w:val="0"/>
              <w:autoSpaceDE/>
              <w:autoSpaceDN/>
              <w:bidi w:val="0"/>
              <w:adjustRightInd/>
              <w:snapToGrid/>
              <w:spacing w:line="400" w:lineRule="exact"/>
              <w:ind w:left="141" w:right="3423" w:firstLine="9"/>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24"/>
                <w:sz w:val="24"/>
                <w:szCs w:val="24"/>
                <w:highlight w:val="none"/>
              </w:rPr>
              <w:t>邮编：</w:t>
            </w:r>
          </w:p>
          <w:p w14:paraId="3223330C">
            <w:pPr>
              <w:keepNext w:val="0"/>
              <w:keepLines w:val="0"/>
              <w:pageBreakBefore w:val="0"/>
              <w:widowControl w:val="0"/>
              <w:kinsoku/>
              <w:wordWrap/>
              <w:overflowPunct/>
              <w:topLinePunct w:val="0"/>
              <w:autoSpaceDE/>
              <w:autoSpaceDN/>
              <w:bidi w:val="0"/>
              <w:adjustRightInd/>
              <w:snapToGrid/>
              <w:spacing w:line="400" w:lineRule="exact"/>
              <w:ind w:left="126"/>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7"/>
                <w:sz w:val="24"/>
                <w:szCs w:val="24"/>
                <w:highlight w:val="none"/>
              </w:rPr>
              <w:t>开户银行：</w:t>
            </w:r>
          </w:p>
          <w:p w14:paraId="1DDAFA40">
            <w:pPr>
              <w:keepNext w:val="0"/>
              <w:keepLines w:val="0"/>
              <w:pageBreakBefore w:val="0"/>
              <w:widowControl w:val="0"/>
              <w:kinsoku/>
              <w:wordWrap/>
              <w:overflowPunct/>
              <w:topLinePunct w:val="0"/>
              <w:autoSpaceDE/>
              <w:autoSpaceDN/>
              <w:bidi w:val="0"/>
              <w:adjustRightInd/>
              <w:snapToGrid/>
              <w:spacing w:line="400" w:lineRule="exact"/>
              <w:ind w:left="128"/>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13"/>
                <w:sz w:val="24"/>
                <w:szCs w:val="24"/>
                <w:highlight w:val="none"/>
              </w:rPr>
              <w:t>账号：</w:t>
            </w:r>
          </w:p>
        </w:tc>
      </w:tr>
    </w:tbl>
    <w:p w14:paraId="08CD70DE">
      <w:pPr>
        <w:tabs>
          <w:tab w:val="left" w:pos="6300"/>
        </w:tabs>
        <w:snapToGrid w:val="0"/>
        <w:jc w:val="center"/>
        <w:rPr>
          <w:rFonts w:eastAsia="方正仿宋_GBK"/>
          <w:sz w:val="24"/>
          <w:szCs w:val="24"/>
        </w:rPr>
      </w:pPr>
    </w:p>
    <w:p w14:paraId="3A998FFA">
      <w:pP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br w:type="page"/>
      </w:r>
    </w:p>
    <w:bookmarkEnd w:id="0"/>
    <w:bookmarkEnd w:id="208"/>
    <w:bookmarkEnd w:id="209"/>
    <w:p w14:paraId="7DF630E5">
      <w:pPr>
        <w:pStyle w:val="2"/>
        <w:pageBreakBefore w:val="0"/>
        <w:kinsoku/>
        <w:wordWrap/>
        <w:overflowPunct/>
        <w:topLinePunct w:val="0"/>
        <w:autoSpaceDE/>
        <w:autoSpaceDN/>
        <w:bidi w:val="0"/>
        <w:spacing w:line="240" w:lineRule="auto"/>
        <w:textAlignment w:val="auto"/>
        <w:rPr>
          <w:rFonts w:hint="eastAsia"/>
          <w:color w:val="auto"/>
        </w:rPr>
      </w:pPr>
      <w:bookmarkStart w:id="227" w:name="_Toc9442"/>
      <w:bookmarkStart w:id="228" w:name="_Toc17879"/>
      <w:bookmarkStart w:id="229" w:name="_Toc2705"/>
      <w:bookmarkStart w:id="230" w:name="_Toc6452"/>
      <w:bookmarkStart w:id="231" w:name="_Toc29379"/>
      <w:bookmarkStart w:id="232" w:name="_Toc16351"/>
      <w:bookmarkStart w:id="233" w:name="_Toc16458"/>
      <w:bookmarkStart w:id="234" w:name="_Toc19195"/>
      <w:bookmarkStart w:id="235" w:name="_Toc23212"/>
      <w:bookmarkStart w:id="236" w:name="_Toc11195"/>
      <w:bookmarkStart w:id="237" w:name="_Toc429"/>
      <w:bookmarkStart w:id="238" w:name="_Toc29958"/>
      <w:bookmarkStart w:id="239" w:name="_Toc15191"/>
      <w:bookmarkStart w:id="240" w:name="_Toc23433"/>
      <w:bookmarkStart w:id="241" w:name="_Toc7605"/>
      <w:bookmarkStart w:id="242" w:name="_Toc9338"/>
      <w:bookmarkStart w:id="243" w:name="_Toc27521"/>
      <w:bookmarkStart w:id="244" w:name="_Toc76462349"/>
      <w:bookmarkStart w:id="245" w:name="_Toc11390"/>
      <w:bookmarkStart w:id="246" w:name="_Toc15809"/>
      <w:bookmarkStart w:id="247" w:name="_Toc2393"/>
      <w:bookmarkStart w:id="248" w:name="_Toc6342"/>
      <w:bookmarkStart w:id="249" w:name="_Toc5150"/>
      <w:r>
        <w:rPr>
          <w:rFonts w:hint="eastAsia"/>
          <w:color w:val="auto"/>
        </w:rPr>
        <w:t>第七篇  响应文件编制要求</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14:paraId="6EBBC53B">
      <w:pPr>
        <w:rPr>
          <w:rFonts w:hint="eastAsia"/>
          <w:color w:val="auto"/>
        </w:rPr>
      </w:pPr>
    </w:p>
    <w:p w14:paraId="784E121D">
      <w:pPr>
        <w:pStyle w:val="3"/>
        <w:pageBreakBefore w:val="0"/>
        <w:kinsoku/>
        <w:wordWrap/>
        <w:overflowPunct/>
        <w:topLinePunct w:val="0"/>
        <w:autoSpaceDE/>
        <w:autoSpaceDN/>
        <w:bidi w:val="0"/>
        <w:ind w:firstLine="560" w:firstLineChars="200"/>
        <w:textAlignment w:val="auto"/>
        <w:outlineLvl w:val="0"/>
        <w:rPr>
          <w:rFonts w:hint="eastAsia"/>
          <w:color w:val="auto"/>
        </w:rPr>
      </w:pPr>
      <w:bookmarkStart w:id="250" w:name="_Toc15174"/>
      <w:bookmarkStart w:id="251" w:name="_Toc17516"/>
      <w:bookmarkStart w:id="252" w:name="_Toc4891"/>
      <w:r>
        <w:rPr>
          <w:rFonts w:hint="eastAsia"/>
          <w:color w:val="auto"/>
        </w:rPr>
        <w:t>一、经济部分</w:t>
      </w:r>
      <w:bookmarkEnd w:id="250"/>
      <w:bookmarkEnd w:id="251"/>
      <w:bookmarkEnd w:id="252"/>
    </w:p>
    <w:p w14:paraId="51D567E0">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（一）</w:t>
      </w:r>
      <w:r>
        <w:rPr>
          <w:rFonts w:hint="eastAsia" w:ascii="方正楷体_GBK" w:hAnsi="方正楷体_GBK" w:eastAsia="方正楷体_GBK" w:cs="方正楷体_GBK"/>
          <w:color w:val="auto"/>
          <w:sz w:val="32"/>
          <w:szCs w:val="32"/>
          <w:lang w:eastAsia="zh-CN"/>
        </w:rPr>
        <w:t>遴选</w:t>
      </w:r>
      <w:r>
        <w:rPr>
          <w:rFonts w:hint="eastAsia" w:ascii="方正楷体_GBK" w:hAnsi="方正楷体_GBK" w:eastAsia="方正楷体_GBK" w:cs="方正楷体_GBK"/>
          <w:color w:val="auto"/>
          <w:sz w:val="32"/>
          <w:szCs w:val="32"/>
        </w:rPr>
        <w:t>报价函</w:t>
      </w:r>
    </w:p>
    <w:p w14:paraId="632AE62D">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（二）明细报价表</w:t>
      </w:r>
    </w:p>
    <w:p w14:paraId="63446609">
      <w:pPr>
        <w:pStyle w:val="3"/>
        <w:pageBreakBefore w:val="0"/>
        <w:kinsoku/>
        <w:wordWrap/>
        <w:overflowPunct/>
        <w:topLinePunct w:val="0"/>
        <w:autoSpaceDE/>
        <w:autoSpaceDN/>
        <w:bidi w:val="0"/>
        <w:ind w:firstLine="560" w:firstLineChars="200"/>
        <w:textAlignment w:val="auto"/>
        <w:outlineLvl w:val="0"/>
        <w:rPr>
          <w:rFonts w:hint="eastAsia"/>
          <w:color w:val="auto"/>
        </w:rPr>
      </w:pPr>
      <w:bookmarkStart w:id="253" w:name="_Toc15516"/>
      <w:bookmarkStart w:id="254" w:name="_Toc3169"/>
      <w:bookmarkStart w:id="255" w:name="_Toc23480"/>
      <w:r>
        <w:rPr>
          <w:rFonts w:hint="eastAsia"/>
          <w:color w:val="auto"/>
        </w:rPr>
        <w:t>二、服务部分</w:t>
      </w:r>
      <w:bookmarkEnd w:id="253"/>
      <w:bookmarkEnd w:id="254"/>
      <w:bookmarkEnd w:id="255"/>
    </w:p>
    <w:p w14:paraId="4E0059A5">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（一）服务响应偏离表</w:t>
      </w:r>
    </w:p>
    <w:p w14:paraId="4E6CC163">
      <w:pPr>
        <w:pageBreakBefore w:val="0"/>
        <w:kinsoku/>
        <w:wordWrap/>
        <w:overflowPunct/>
        <w:topLinePunct w:val="0"/>
        <w:autoSpaceDE/>
        <w:autoSpaceDN/>
        <w:bidi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color w:val="auto"/>
          <w:sz w:val="32"/>
          <w:szCs w:val="32"/>
        </w:rPr>
        <w:t>（二）其他资料（格式自定）</w:t>
      </w:r>
    </w:p>
    <w:p w14:paraId="7915DF8B">
      <w:pPr>
        <w:pStyle w:val="3"/>
        <w:pageBreakBefore w:val="0"/>
        <w:kinsoku/>
        <w:wordWrap/>
        <w:overflowPunct/>
        <w:topLinePunct w:val="0"/>
        <w:autoSpaceDE/>
        <w:autoSpaceDN/>
        <w:bidi w:val="0"/>
        <w:ind w:firstLine="560" w:firstLineChars="200"/>
        <w:textAlignment w:val="auto"/>
        <w:outlineLvl w:val="0"/>
        <w:rPr>
          <w:rFonts w:hint="eastAsia"/>
          <w:color w:val="auto"/>
        </w:rPr>
      </w:pPr>
      <w:bookmarkStart w:id="256" w:name="_Toc2703"/>
      <w:bookmarkStart w:id="257" w:name="_Toc9372"/>
      <w:bookmarkStart w:id="258" w:name="_Toc31914"/>
      <w:r>
        <w:rPr>
          <w:rFonts w:hint="eastAsia"/>
          <w:color w:val="auto"/>
        </w:rPr>
        <w:t>三、商务部分</w:t>
      </w:r>
      <w:bookmarkEnd w:id="256"/>
      <w:bookmarkEnd w:id="257"/>
      <w:bookmarkEnd w:id="258"/>
    </w:p>
    <w:p w14:paraId="7923B7FA">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（一）商务响应偏离表</w:t>
      </w:r>
    </w:p>
    <w:p w14:paraId="3EC25BB5">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（二）其它优惠服务承诺（格式自定）</w:t>
      </w:r>
    </w:p>
    <w:p w14:paraId="2C5EEBF0">
      <w:pPr>
        <w:pStyle w:val="3"/>
        <w:pageBreakBefore w:val="0"/>
        <w:kinsoku/>
        <w:wordWrap/>
        <w:overflowPunct/>
        <w:topLinePunct w:val="0"/>
        <w:autoSpaceDE/>
        <w:autoSpaceDN/>
        <w:bidi w:val="0"/>
        <w:ind w:firstLine="560" w:firstLineChars="200"/>
        <w:textAlignment w:val="auto"/>
        <w:outlineLvl w:val="0"/>
        <w:rPr>
          <w:rFonts w:hint="eastAsia"/>
          <w:color w:val="auto"/>
        </w:rPr>
      </w:pPr>
      <w:bookmarkStart w:id="259" w:name="_Toc13622"/>
      <w:bookmarkStart w:id="260" w:name="_Toc5811"/>
      <w:bookmarkStart w:id="261" w:name="_Toc24444"/>
      <w:r>
        <w:rPr>
          <w:rFonts w:hint="eastAsia"/>
          <w:color w:val="auto"/>
        </w:rPr>
        <w:t>四、资格条件及其他</w:t>
      </w:r>
      <w:bookmarkEnd w:id="259"/>
      <w:bookmarkEnd w:id="260"/>
      <w:bookmarkEnd w:id="261"/>
    </w:p>
    <w:p w14:paraId="69C2A3AB">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（一）法人营业执照（副本）或事业单位法人证书（副本）或个体工商户营业执照或有效的自然人身份证明或社会团体法人登记证书复印件</w:t>
      </w:r>
    </w:p>
    <w:p w14:paraId="41EE34F1">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（二）法定代表人身份证明书（格式）</w:t>
      </w:r>
    </w:p>
    <w:p w14:paraId="4333A11B">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（三）法定代表人授权委托书（格式）</w:t>
      </w:r>
    </w:p>
    <w:p w14:paraId="2049AE20">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（四）基本资格条件承诺函</w:t>
      </w:r>
    </w:p>
    <w:p w14:paraId="2DA04D95">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（五）特定资格条件证书或证明文件（如果有）</w:t>
      </w:r>
    </w:p>
    <w:p w14:paraId="352050FA">
      <w:pPr>
        <w:pStyle w:val="3"/>
        <w:pageBreakBefore w:val="0"/>
        <w:kinsoku/>
        <w:wordWrap/>
        <w:overflowPunct/>
        <w:topLinePunct w:val="0"/>
        <w:autoSpaceDE/>
        <w:autoSpaceDN/>
        <w:bidi w:val="0"/>
        <w:ind w:firstLine="560" w:firstLineChars="200"/>
        <w:textAlignment w:val="auto"/>
        <w:outlineLvl w:val="0"/>
        <w:rPr>
          <w:rFonts w:hint="eastAsia"/>
          <w:color w:val="auto"/>
        </w:rPr>
      </w:pPr>
      <w:bookmarkStart w:id="262" w:name="_Toc9160"/>
      <w:bookmarkStart w:id="263" w:name="_Toc16521"/>
      <w:bookmarkStart w:id="264" w:name="_Toc23576"/>
      <w:r>
        <w:rPr>
          <w:rFonts w:hint="eastAsia"/>
          <w:color w:val="auto"/>
        </w:rPr>
        <w:t>五、其他资料</w:t>
      </w:r>
      <w:bookmarkEnd w:id="262"/>
      <w:bookmarkEnd w:id="263"/>
      <w:bookmarkEnd w:id="264"/>
    </w:p>
    <w:p w14:paraId="62045E51">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（一）中小企业声明函、监狱企业证明文件、残疾人福利性单位声明函</w:t>
      </w:r>
    </w:p>
    <w:p w14:paraId="6057185F">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（二）其他与项目有关的资料</w:t>
      </w:r>
    </w:p>
    <w:p w14:paraId="45816C22">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sectPr>
          <w:headerReference r:id="rId5" w:type="default"/>
          <w:footerReference r:id="rId6" w:type="default"/>
          <w:pgSz w:w="11907" w:h="16840"/>
          <w:pgMar w:top="1134" w:right="1191" w:bottom="1134" w:left="1304" w:header="851" w:footer="992" w:gutter="0"/>
          <w:pgNumType w:fmt="numberInDash"/>
          <w:cols w:space="720" w:num="1"/>
          <w:docGrid w:linePitch="380" w:charSpace="-5735"/>
        </w:sectPr>
      </w:pPr>
    </w:p>
    <w:p w14:paraId="009BBAE7">
      <w:pPr>
        <w:pStyle w:val="3"/>
        <w:pageBreakBefore w:val="0"/>
        <w:kinsoku/>
        <w:wordWrap/>
        <w:overflowPunct/>
        <w:topLinePunct w:val="0"/>
        <w:autoSpaceDE/>
        <w:autoSpaceDN/>
        <w:bidi w:val="0"/>
        <w:adjustRightInd w:val="0"/>
        <w:snapToGrid w:val="0"/>
        <w:spacing w:before="0" w:after="0" w:line="580" w:lineRule="exact"/>
        <w:jc w:val="left"/>
        <w:textAlignment w:val="auto"/>
        <w:outlineLvl w:val="0"/>
        <w:rPr>
          <w:rFonts w:hint="eastAsia" w:ascii="方正黑体_GBK" w:hAnsi="方正黑体_GBK" w:eastAsia="方正黑体_GBK" w:cs="方正黑体_GBK"/>
          <w:b w:val="0"/>
          <w:bCs/>
          <w:color w:val="auto"/>
          <w:sz w:val="32"/>
          <w:szCs w:val="32"/>
        </w:rPr>
      </w:pPr>
      <w:bookmarkStart w:id="265" w:name="_Toc342913419"/>
      <w:bookmarkStart w:id="266" w:name="_Toc15773"/>
      <w:bookmarkStart w:id="267" w:name="_Toc12292"/>
      <w:bookmarkStart w:id="268" w:name="_Toc4710"/>
      <w:bookmarkStart w:id="269" w:name="_Toc26979"/>
      <w:bookmarkStart w:id="270" w:name="_Toc313008356"/>
      <w:bookmarkStart w:id="271" w:name="_Toc16224"/>
      <w:bookmarkStart w:id="272" w:name="_Toc27684"/>
      <w:bookmarkStart w:id="273" w:name="_Toc5655"/>
      <w:bookmarkStart w:id="274" w:name="_Toc30801"/>
      <w:bookmarkStart w:id="275" w:name="_Toc13366"/>
      <w:bookmarkStart w:id="276" w:name="_Toc32301"/>
      <w:bookmarkStart w:id="277" w:name="_Toc13181"/>
      <w:bookmarkStart w:id="278" w:name="_Toc13221"/>
      <w:bookmarkStart w:id="279" w:name="_Toc21652"/>
      <w:bookmarkStart w:id="280" w:name="_Toc313888360"/>
      <w:bookmarkStart w:id="281" w:name="_Toc19492"/>
      <w:bookmarkStart w:id="282" w:name="_Toc28572"/>
      <w:bookmarkStart w:id="283" w:name="_Toc8942"/>
      <w:bookmarkStart w:id="284" w:name="_Toc31455"/>
      <w:bookmarkStart w:id="285" w:name="_Toc14916"/>
      <w:bookmarkStart w:id="286" w:name="_Toc27018"/>
      <w:bookmarkStart w:id="287" w:name="_Toc76462350"/>
      <w:bookmarkStart w:id="288" w:name="_Toc17915"/>
      <w:bookmarkStart w:id="289" w:name="_Toc32046"/>
      <w:bookmarkStart w:id="290" w:name="_Toc18885"/>
      <w:bookmarkStart w:id="291" w:name="_Toc12789073"/>
      <w:bookmarkStart w:id="292" w:name="_Toc283382454"/>
      <w:r>
        <w:rPr>
          <w:rFonts w:hint="eastAsia" w:ascii="方正黑体_GBK" w:hAnsi="方正黑体_GBK" w:eastAsia="方正黑体_GBK" w:cs="方正黑体_GBK"/>
          <w:b w:val="0"/>
          <w:bCs/>
          <w:color w:val="auto"/>
          <w:sz w:val="32"/>
          <w:szCs w:val="32"/>
        </w:rPr>
        <w:t>一、经济部分</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bookmarkEnd w:id="291"/>
    <w:bookmarkEnd w:id="292"/>
    <w:p w14:paraId="539D7143">
      <w:pPr>
        <w:pageBreakBefore w:val="0"/>
        <w:tabs>
          <w:tab w:val="left" w:pos="6300"/>
        </w:tabs>
        <w:kinsoku/>
        <w:wordWrap/>
        <w:overflowPunct/>
        <w:topLinePunct w:val="0"/>
        <w:autoSpaceDE/>
        <w:autoSpaceDN/>
        <w:bidi w:val="0"/>
        <w:snapToGrid w:val="0"/>
        <w:spacing w:line="580" w:lineRule="exact"/>
        <w:ind w:firstLine="640" w:firstLineChars="200"/>
        <w:textAlignment w:val="auto"/>
        <w:outlineLvl w:val="1"/>
        <w:rPr>
          <w:rFonts w:hint="eastAsia" w:ascii="方正楷体_GBK" w:hAnsi="方正楷体_GBK" w:eastAsia="方正楷体_GBK" w:cs="方正楷体_GBK"/>
          <w:color w:val="auto"/>
          <w:sz w:val="32"/>
          <w:szCs w:val="32"/>
        </w:rPr>
      </w:pPr>
      <w:bookmarkStart w:id="293" w:name="_Toc4092"/>
      <w:r>
        <w:rPr>
          <w:rFonts w:hint="eastAsia" w:ascii="方正楷体_GBK" w:hAnsi="方正楷体_GBK" w:eastAsia="方正楷体_GBK" w:cs="方正楷体_GBK"/>
          <w:color w:val="auto"/>
          <w:sz w:val="32"/>
          <w:szCs w:val="32"/>
        </w:rPr>
        <w:t>（一）</w:t>
      </w:r>
      <w:r>
        <w:rPr>
          <w:rFonts w:hint="eastAsia" w:ascii="方正楷体_GBK" w:hAnsi="方正楷体_GBK" w:eastAsia="方正楷体_GBK" w:cs="方正楷体_GBK"/>
          <w:color w:val="auto"/>
          <w:sz w:val="32"/>
          <w:szCs w:val="32"/>
          <w:lang w:eastAsia="zh-CN"/>
        </w:rPr>
        <w:t>遴选</w:t>
      </w:r>
      <w:r>
        <w:rPr>
          <w:rFonts w:hint="eastAsia" w:ascii="方正楷体_GBK" w:hAnsi="方正楷体_GBK" w:eastAsia="方正楷体_GBK" w:cs="方正楷体_GBK"/>
          <w:color w:val="auto"/>
          <w:sz w:val="32"/>
          <w:szCs w:val="32"/>
        </w:rPr>
        <w:t>报价函</w:t>
      </w:r>
      <w:bookmarkEnd w:id="293"/>
    </w:p>
    <w:p w14:paraId="56378354">
      <w:pPr>
        <w:pageBreakBefore w:val="0"/>
        <w:kinsoku/>
        <w:wordWrap/>
        <w:overflowPunct/>
        <w:topLinePunct w:val="0"/>
        <w:autoSpaceDE/>
        <w:autoSpaceDN/>
        <w:bidi w:val="0"/>
        <w:spacing w:line="440" w:lineRule="exact"/>
        <w:jc w:val="center"/>
        <w:textAlignment w:val="auto"/>
        <w:rPr>
          <w:rFonts w:hint="eastAsia" w:ascii="方正仿宋_GBK" w:hAnsi="方正仿宋_GBK" w:eastAsia="方正仿宋_GBK" w:cs="方正仿宋_GBK"/>
          <w:b/>
          <w:bCs w:val="0"/>
          <w:color w:val="auto"/>
          <w:sz w:val="32"/>
          <w:szCs w:val="32"/>
        </w:rPr>
      </w:pPr>
      <w:r>
        <w:rPr>
          <w:rFonts w:hint="eastAsia" w:ascii="方正仿宋_GBK" w:hAnsi="方正仿宋_GBK" w:eastAsia="方正仿宋_GBK" w:cs="方正仿宋_GBK"/>
          <w:b/>
          <w:bCs w:val="0"/>
          <w:color w:val="auto"/>
          <w:sz w:val="32"/>
          <w:szCs w:val="32"/>
          <w:lang w:eastAsia="zh-CN"/>
        </w:rPr>
        <w:t>遴选</w:t>
      </w:r>
      <w:r>
        <w:rPr>
          <w:rFonts w:hint="eastAsia" w:ascii="方正仿宋_GBK" w:hAnsi="方正仿宋_GBK" w:eastAsia="方正仿宋_GBK" w:cs="方正仿宋_GBK"/>
          <w:b/>
          <w:bCs w:val="0"/>
          <w:color w:val="auto"/>
          <w:sz w:val="32"/>
          <w:szCs w:val="32"/>
        </w:rPr>
        <w:t>报价函</w:t>
      </w:r>
    </w:p>
    <w:p w14:paraId="613B4BDB">
      <w:pPr>
        <w:pageBreakBefore w:val="0"/>
        <w:tabs>
          <w:tab w:val="left" w:pos="6300"/>
        </w:tabs>
        <w:kinsoku/>
        <w:wordWrap/>
        <w:overflowPunct/>
        <w:topLinePunct w:val="0"/>
        <w:autoSpaceDE/>
        <w:autoSpaceDN/>
        <w:bidi w:val="0"/>
        <w:snapToGrid w:val="0"/>
        <w:spacing w:line="440" w:lineRule="exact"/>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u w:val="single"/>
        </w:rPr>
        <w:t>（采购</w:t>
      </w:r>
      <w:r>
        <w:rPr>
          <w:rFonts w:hint="eastAsia" w:ascii="方正仿宋_GBK" w:hAnsi="方正仿宋_GBK" w:eastAsia="方正仿宋_GBK" w:cs="方正仿宋_GBK"/>
          <w:color w:val="auto"/>
          <w:sz w:val="24"/>
          <w:szCs w:val="24"/>
          <w:u w:val="single"/>
          <w:lang w:val="en-US" w:eastAsia="zh-CN"/>
        </w:rPr>
        <w:t>单位</w:t>
      </w:r>
      <w:r>
        <w:rPr>
          <w:rFonts w:hint="eastAsia" w:ascii="方正仿宋_GBK" w:hAnsi="方正仿宋_GBK" w:eastAsia="方正仿宋_GBK" w:cs="方正仿宋_GBK"/>
          <w:color w:val="auto"/>
          <w:sz w:val="24"/>
          <w:szCs w:val="24"/>
          <w:u w:val="single"/>
        </w:rPr>
        <w:t>名称）</w:t>
      </w:r>
      <w:r>
        <w:rPr>
          <w:rFonts w:hint="eastAsia" w:ascii="方正仿宋_GBK" w:hAnsi="方正仿宋_GBK" w:eastAsia="方正仿宋_GBK" w:cs="方正仿宋_GBK"/>
          <w:color w:val="auto"/>
          <w:sz w:val="24"/>
          <w:szCs w:val="24"/>
        </w:rPr>
        <w:t>：</w:t>
      </w:r>
    </w:p>
    <w:p w14:paraId="5BF5887A">
      <w:pPr>
        <w:pageBreakBefore w:val="0"/>
        <w:tabs>
          <w:tab w:val="left" w:pos="6300"/>
        </w:tabs>
        <w:kinsoku/>
        <w:wordWrap/>
        <w:overflowPunct/>
        <w:topLinePunct w:val="0"/>
        <w:autoSpaceDE/>
        <w:autoSpaceDN/>
        <w:bidi w:val="0"/>
        <w:snapToGrid w:val="0"/>
        <w:spacing w:line="44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我方收到____________________________（</w:t>
      </w: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项目名称）的</w:t>
      </w: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文件，经详细研究，决定参加该项目的</w:t>
      </w: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w:t>
      </w:r>
    </w:p>
    <w:p w14:paraId="0F57A42C">
      <w:pPr>
        <w:pageBreakBefore w:val="0"/>
        <w:tabs>
          <w:tab w:val="left" w:pos="6300"/>
        </w:tabs>
        <w:kinsoku/>
        <w:wordWrap/>
        <w:overflowPunct/>
        <w:topLinePunct w:val="0"/>
        <w:autoSpaceDE/>
        <w:autoSpaceDN/>
        <w:bidi w:val="0"/>
        <w:snapToGrid w:val="0"/>
        <w:spacing w:line="440" w:lineRule="exact"/>
        <w:ind w:firstLine="480" w:firstLineChars="200"/>
        <w:textAlignment w:val="auto"/>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rPr>
        <w:t>1.愿意按照</w:t>
      </w: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文件中的一切要求，提供本项目的服务</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lang w:val="en-US" w:eastAsia="zh-CN"/>
        </w:rPr>
        <w:t>报价见分项报价表</w:t>
      </w:r>
      <w:r>
        <w:rPr>
          <w:rFonts w:hint="eastAsia" w:ascii="方正仿宋_GBK" w:hAnsi="方正仿宋_GBK" w:eastAsia="方正仿宋_GBK" w:cs="方正仿宋_GBK"/>
          <w:color w:val="auto"/>
          <w:sz w:val="24"/>
          <w:szCs w:val="24"/>
          <w:lang w:eastAsia="zh-CN"/>
        </w:rPr>
        <w:t>。</w:t>
      </w:r>
    </w:p>
    <w:p w14:paraId="0DE29363">
      <w:pPr>
        <w:pageBreakBefore w:val="0"/>
        <w:tabs>
          <w:tab w:val="left" w:pos="6300"/>
        </w:tabs>
        <w:kinsoku/>
        <w:wordWrap/>
        <w:overflowPunct/>
        <w:topLinePunct w:val="0"/>
        <w:autoSpaceDE/>
        <w:autoSpaceDN/>
        <w:bidi w:val="0"/>
        <w:snapToGrid w:val="0"/>
        <w:spacing w:line="44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2.我方现提交的响应文件为：响应文件正本</w:t>
      </w:r>
      <w:r>
        <w:rPr>
          <w:rFonts w:hint="eastAsia" w:ascii="方正仿宋_GBK" w:hAnsi="方正仿宋_GBK" w:eastAsia="方正仿宋_GBK" w:cs="方正仿宋_GBK"/>
          <w:color w:val="auto"/>
          <w:sz w:val="24"/>
          <w:szCs w:val="24"/>
          <w:u w:val="single"/>
        </w:rPr>
        <w:t xml:space="preserve">   </w:t>
      </w:r>
      <w:r>
        <w:rPr>
          <w:rFonts w:hint="eastAsia" w:ascii="方正仿宋_GBK" w:hAnsi="方正仿宋_GBK" w:eastAsia="方正仿宋_GBK" w:cs="方正仿宋_GBK"/>
          <w:color w:val="auto"/>
          <w:sz w:val="24"/>
          <w:szCs w:val="24"/>
        </w:rPr>
        <w:t>份，副本</w:t>
      </w:r>
      <w:r>
        <w:rPr>
          <w:rFonts w:hint="eastAsia" w:ascii="方正仿宋_GBK" w:hAnsi="方正仿宋_GBK" w:eastAsia="方正仿宋_GBK" w:cs="方正仿宋_GBK"/>
          <w:color w:val="auto"/>
          <w:sz w:val="24"/>
          <w:szCs w:val="24"/>
          <w:u w:val="single"/>
        </w:rPr>
        <w:t xml:space="preserve">   </w:t>
      </w:r>
      <w:r>
        <w:rPr>
          <w:rFonts w:hint="eastAsia" w:ascii="方正仿宋_GBK" w:hAnsi="方正仿宋_GBK" w:eastAsia="方正仿宋_GBK" w:cs="方正仿宋_GBK"/>
          <w:color w:val="auto"/>
          <w:sz w:val="24"/>
          <w:szCs w:val="24"/>
        </w:rPr>
        <w:t>份，电子文档</w:t>
      </w:r>
      <w:r>
        <w:rPr>
          <w:rFonts w:hint="eastAsia" w:ascii="方正仿宋_GBK" w:hAnsi="方正仿宋_GBK" w:eastAsia="方正仿宋_GBK" w:cs="方正仿宋_GBK"/>
          <w:color w:val="auto"/>
          <w:sz w:val="24"/>
          <w:szCs w:val="24"/>
          <w:u w:val="single"/>
        </w:rPr>
        <w:t xml:space="preserve">   </w:t>
      </w:r>
      <w:r>
        <w:rPr>
          <w:rFonts w:hint="eastAsia" w:ascii="方正仿宋_GBK" w:hAnsi="方正仿宋_GBK" w:eastAsia="方正仿宋_GBK" w:cs="方正仿宋_GBK"/>
          <w:color w:val="auto"/>
          <w:sz w:val="24"/>
          <w:szCs w:val="24"/>
        </w:rPr>
        <w:t>份。</w:t>
      </w:r>
    </w:p>
    <w:p w14:paraId="14E54599">
      <w:pPr>
        <w:pageBreakBefore w:val="0"/>
        <w:tabs>
          <w:tab w:val="left" w:pos="6300"/>
        </w:tabs>
        <w:kinsoku/>
        <w:wordWrap/>
        <w:overflowPunct/>
        <w:topLinePunct w:val="0"/>
        <w:autoSpaceDE/>
        <w:autoSpaceDN/>
        <w:bidi w:val="0"/>
        <w:snapToGrid w:val="0"/>
        <w:spacing w:line="44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3.我方承诺：本次</w:t>
      </w: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的有效期为提交响应文件截止时间起90天。</w:t>
      </w:r>
    </w:p>
    <w:p w14:paraId="605998BD">
      <w:pPr>
        <w:pageBreakBefore w:val="0"/>
        <w:tabs>
          <w:tab w:val="left" w:pos="6300"/>
        </w:tabs>
        <w:kinsoku/>
        <w:wordWrap/>
        <w:overflowPunct/>
        <w:topLinePunct w:val="0"/>
        <w:autoSpaceDE/>
        <w:autoSpaceDN/>
        <w:bidi w:val="0"/>
        <w:snapToGrid w:val="0"/>
        <w:spacing w:line="44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4.我方完全理解和接受贵方</w:t>
      </w: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文件的一切规定和要求及评审办法。</w:t>
      </w:r>
    </w:p>
    <w:p w14:paraId="7DD2BDED">
      <w:pPr>
        <w:pageBreakBefore w:val="0"/>
        <w:tabs>
          <w:tab w:val="left" w:pos="6300"/>
        </w:tabs>
        <w:kinsoku/>
        <w:wordWrap/>
        <w:overflowPunct/>
        <w:topLinePunct w:val="0"/>
        <w:autoSpaceDE/>
        <w:autoSpaceDN/>
        <w:bidi w:val="0"/>
        <w:snapToGrid w:val="0"/>
        <w:spacing w:line="44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5.在整个</w:t>
      </w: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过程中，我方若有违规行为，接受按照《中华人民共和国政府采购法》和《</w:t>
      </w: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文件》之规定给予惩罚。</w:t>
      </w:r>
    </w:p>
    <w:p w14:paraId="7F0A6476">
      <w:pPr>
        <w:pageBreakBefore w:val="0"/>
        <w:tabs>
          <w:tab w:val="left" w:pos="6300"/>
        </w:tabs>
        <w:kinsoku/>
        <w:wordWrap/>
        <w:overflowPunct/>
        <w:topLinePunct w:val="0"/>
        <w:autoSpaceDE/>
        <w:autoSpaceDN/>
        <w:bidi w:val="0"/>
        <w:snapToGrid w:val="0"/>
        <w:spacing w:line="44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6.我方若成为</w:t>
      </w:r>
      <w:r>
        <w:rPr>
          <w:rFonts w:hint="eastAsia" w:ascii="方正仿宋_GBK" w:hAnsi="方正仿宋_GBK" w:eastAsia="方正仿宋_GBK" w:cs="方正仿宋_GBK"/>
          <w:color w:val="auto"/>
          <w:sz w:val="24"/>
          <w:szCs w:val="24"/>
          <w:lang w:eastAsia="zh-CN"/>
        </w:rPr>
        <w:t>入围</w:t>
      </w:r>
      <w:r>
        <w:rPr>
          <w:rFonts w:hint="eastAsia" w:ascii="方正仿宋_GBK" w:hAnsi="方正仿宋_GBK" w:eastAsia="方正仿宋_GBK" w:cs="方正仿宋_GBK"/>
          <w:color w:val="auto"/>
          <w:sz w:val="24"/>
          <w:szCs w:val="24"/>
        </w:rPr>
        <w:t>供应商，将按照最终</w:t>
      </w: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结果签订合同，并且严格履行合同义务。本承诺函将成为合同不可分割的一部分，与合同具有同等的法律效力。</w:t>
      </w:r>
    </w:p>
    <w:p w14:paraId="2E06D3DC">
      <w:pPr>
        <w:pageBreakBefore w:val="0"/>
        <w:tabs>
          <w:tab w:val="left" w:pos="6300"/>
        </w:tabs>
        <w:kinsoku/>
        <w:wordWrap/>
        <w:overflowPunct/>
        <w:topLinePunct w:val="0"/>
        <w:autoSpaceDE/>
        <w:autoSpaceDN/>
        <w:bidi w:val="0"/>
        <w:snapToGrid w:val="0"/>
        <w:spacing w:line="44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7.我方未为采购项目提供整体设计、规范编制或者项目管理、监理、检测等服务。</w:t>
      </w:r>
    </w:p>
    <w:p w14:paraId="3079A12D">
      <w:pPr>
        <w:pageBreakBefore w:val="0"/>
        <w:tabs>
          <w:tab w:val="left" w:pos="6300"/>
        </w:tabs>
        <w:kinsoku/>
        <w:wordWrap/>
        <w:overflowPunct/>
        <w:topLinePunct w:val="0"/>
        <w:autoSpaceDE/>
        <w:autoSpaceDN/>
        <w:bidi w:val="0"/>
        <w:snapToGrid w:val="0"/>
        <w:spacing w:line="440" w:lineRule="exact"/>
        <w:ind w:firstLine="57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供应商（公章）或自然人签署：</w:t>
      </w:r>
    </w:p>
    <w:p w14:paraId="777E1D4E">
      <w:pPr>
        <w:pageBreakBefore w:val="0"/>
        <w:tabs>
          <w:tab w:val="left" w:pos="6300"/>
        </w:tabs>
        <w:kinsoku/>
        <w:wordWrap/>
        <w:overflowPunct/>
        <w:topLinePunct w:val="0"/>
        <w:autoSpaceDE/>
        <w:autoSpaceDN/>
        <w:bidi w:val="0"/>
        <w:snapToGrid w:val="0"/>
        <w:spacing w:line="440" w:lineRule="exact"/>
        <w:ind w:firstLine="57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地址：  </w:t>
      </w:r>
    </w:p>
    <w:p w14:paraId="0D36CFB5">
      <w:pPr>
        <w:pageBreakBefore w:val="0"/>
        <w:tabs>
          <w:tab w:val="left" w:pos="6300"/>
        </w:tabs>
        <w:kinsoku/>
        <w:wordWrap/>
        <w:overflowPunct/>
        <w:topLinePunct w:val="0"/>
        <w:autoSpaceDE/>
        <w:autoSpaceDN/>
        <w:bidi w:val="0"/>
        <w:snapToGrid w:val="0"/>
        <w:spacing w:line="440" w:lineRule="exact"/>
        <w:ind w:firstLine="57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电话：                                             </w:t>
      </w:r>
    </w:p>
    <w:p w14:paraId="76CA8A09">
      <w:pPr>
        <w:pageBreakBefore w:val="0"/>
        <w:tabs>
          <w:tab w:val="left" w:pos="6300"/>
        </w:tabs>
        <w:kinsoku/>
        <w:wordWrap/>
        <w:overflowPunct/>
        <w:topLinePunct w:val="0"/>
        <w:autoSpaceDE/>
        <w:autoSpaceDN/>
        <w:bidi w:val="0"/>
        <w:snapToGrid w:val="0"/>
        <w:spacing w:line="440" w:lineRule="exact"/>
        <w:ind w:firstLine="57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传真：</w:t>
      </w:r>
    </w:p>
    <w:p w14:paraId="1D8FF783">
      <w:pPr>
        <w:pageBreakBefore w:val="0"/>
        <w:tabs>
          <w:tab w:val="left" w:pos="6300"/>
        </w:tabs>
        <w:kinsoku/>
        <w:wordWrap/>
        <w:overflowPunct/>
        <w:topLinePunct w:val="0"/>
        <w:autoSpaceDE/>
        <w:autoSpaceDN/>
        <w:bidi w:val="0"/>
        <w:snapToGrid w:val="0"/>
        <w:spacing w:line="440" w:lineRule="exact"/>
        <w:ind w:firstLine="57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网址：                                             </w:t>
      </w:r>
    </w:p>
    <w:p w14:paraId="47392AC9">
      <w:pPr>
        <w:pageBreakBefore w:val="0"/>
        <w:tabs>
          <w:tab w:val="left" w:pos="6300"/>
        </w:tabs>
        <w:kinsoku/>
        <w:wordWrap/>
        <w:overflowPunct/>
        <w:topLinePunct w:val="0"/>
        <w:autoSpaceDE/>
        <w:autoSpaceDN/>
        <w:bidi w:val="0"/>
        <w:snapToGrid w:val="0"/>
        <w:spacing w:line="440" w:lineRule="exact"/>
        <w:ind w:firstLine="57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邮编：</w:t>
      </w:r>
    </w:p>
    <w:p w14:paraId="34E865FA">
      <w:pPr>
        <w:pageBreakBefore w:val="0"/>
        <w:tabs>
          <w:tab w:val="left" w:pos="6300"/>
        </w:tabs>
        <w:kinsoku/>
        <w:wordWrap/>
        <w:overflowPunct/>
        <w:topLinePunct w:val="0"/>
        <w:autoSpaceDE/>
        <w:autoSpaceDN/>
        <w:bidi w:val="0"/>
        <w:snapToGrid w:val="0"/>
        <w:spacing w:line="440" w:lineRule="exact"/>
        <w:ind w:firstLine="57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联系人：</w:t>
      </w:r>
    </w:p>
    <w:p w14:paraId="3016B935">
      <w:pPr>
        <w:pageBreakBefore w:val="0"/>
        <w:kinsoku/>
        <w:wordWrap/>
        <w:overflowPunct/>
        <w:topLinePunct w:val="0"/>
        <w:autoSpaceDE/>
        <w:autoSpaceDN/>
        <w:bidi w:val="0"/>
        <w:snapToGrid w:val="0"/>
        <w:spacing w:line="440" w:lineRule="exact"/>
        <w:ind w:firstLine="480" w:firstLineChars="200"/>
        <w:textAlignment w:val="auto"/>
        <w:rPr>
          <w:rFonts w:hint="eastAsia" w:ascii="方正仿宋_GBK" w:hAnsi="方正仿宋_GBK" w:eastAsia="方正仿宋_GBK" w:cs="方正仿宋_GBK"/>
          <w:color w:val="auto"/>
          <w:sz w:val="24"/>
          <w:szCs w:val="24"/>
        </w:rPr>
        <w:sectPr>
          <w:pgSz w:w="11907" w:h="16840"/>
          <w:pgMar w:top="1134" w:right="1191" w:bottom="1134" w:left="1304" w:header="851" w:footer="992" w:gutter="0"/>
          <w:pgNumType w:fmt="numberInDash"/>
          <w:cols w:space="720" w:num="1"/>
          <w:docGrid w:linePitch="380" w:charSpace="-5735"/>
        </w:sectPr>
      </w:pPr>
      <w:r>
        <w:rPr>
          <w:rFonts w:hint="eastAsia" w:ascii="方正仿宋_GBK" w:hAnsi="方正仿宋_GBK" w:eastAsia="方正仿宋_GBK" w:cs="方正仿宋_GBK"/>
          <w:color w:val="auto"/>
          <w:sz w:val="24"/>
          <w:szCs w:val="24"/>
        </w:rPr>
        <w:t xml:space="preserve">                             年   月   日</w:t>
      </w:r>
    </w:p>
    <w:p w14:paraId="035C90C2">
      <w:pPr>
        <w:pageBreakBefore w:val="0"/>
        <w:tabs>
          <w:tab w:val="left" w:pos="6300"/>
        </w:tabs>
        <w:kinsoku/>
        <w:wordWrap/>
        <w:overflowPunct/>
        <w:topLinePunct w:val="0"/>
        <w:autoSpaceDE/>
        <w:autoSpaceDN/>
        <w:bidi w:val="0"/>
        <w:snapToGrid w:val="0"/>
        <w:spacing w:line="580" w:lineRule="exact"/>
        <w:ind w:firstLine="640" w:firstLineChars="200"/>
        <w:textAlignment w:val="auto"/>
        <w:outlineLvl w:val="1"/>
        <w:rPr>
          <w:rFonts w:hint="eastAsia" w:ascii="方正楷体_GBK" w:hAnsi="方正楷体_GBK" w:eastAsia="方正楷体_GBK" w:cs="方正楷体_GBK"/>
          <w:color w:val="auto"/>
          <w:sz w:val="32"/>
          <w:szCs w:val="32"/>
        </w:rPr>
      </w:pPr>
      <w:bookmarkStart w:id="294" w:name="_Toc26230"/>
      <w:r>
        <w:rPr>
          <w:rFonts w:hint="eastAsia" w:ascii="方正楷体_GBK" w:hAnsi="方正楷体_GBK" w:eastAsia="方正楷体_GBK" w:cs="方正楷体_GBK"/>
          <w:color w:val="auto"/>
          <w:sz w:val="32"/>
          <w:szCs w:val="32"/>
          <w:lang w:eastAsia="zh-CN"/>
        </w:rPr>
        <w:t>（二）明细</w:t>
      </w:r>
      <w:r>
        <w:rPr>
          <w:rFonts w:hint="eastAsia" w:ascii="方正楷体_GBK" w:hAnsi="方正楷体_GBK" w:eastAsia="方正楷体_GBK" w:cs="方正楷体_GBK"/>
          <w:color w:val="auto"/>
          <w:sz w:val="32"/>
          <w:szCs w:val="32"/>
        </w:rPr>
        <w:t>报价表</w:t>
      </w:r>
      <w:bookmarkEnd w:id="294"/>
    </w:p>
    <w:p w14:paraId="71B96A7E">
      <w:pPr>
        <w:pageBreakBefore w:val="0"/>
        <w:kinsoku/>
        <w:wordWrap/>
        <w:overflowPunct/>
        <w:topLinePunct w:val="0"/>
        <w:autoSpaceDE/>
        <w:autoSpaceDN/>
        <w:bidi w:val="0"/>
        <w:spacing w:line="58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项目号：                              </w:t>
      </w:r>
    </w:p>
    <w:p w14:paraId="792AF3E2">
      <w:pPr>
        <w:pageBreakBefore w:val="0"/>
        <w:kinsoku/>
        <w:wordWrap/>
        <w:overflowPunct/>
        <w:topLinePunct w:val="0"/>
        <w:autoSpaceDE/>
        <w:autoSpaceDN/>
        <w:bidi w:val="0"/>
        <w:snapToGrid/>
        <w:spacing w:line="580" w:lineRule="exact"/>
        <w:ind w:firstLine="48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 xml:space="preserve">项目名称： </w:t>
      </w:r>
    </w:p>
    <w:tbl>
      <w:tblPr>
        <w:tblStyle w:val="57"/>
        <w:tblpPr w:leftFromText="180" w:rightFromText="180" w:vertAnchor="text" w:horzAnchor="page" w:tblpX="1400" w:tblpY="800"/>
        <w:tblOverlap w:val="never"/>
        <w:tblW w:w="9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5"/>
        <w:gridCol w:w="975"/>
        <w:gridCol w:w="930"/>
        <w:gridCol w:w="2880"/>
        <w:gridCol w:w="2310"/>
      </w:tblGrid>
      <w:tr w14:paraId="08CD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5" w:type="dxa"/>
            <w:noWrap w:val="0"/>
            <w:vAlign w:val="center"/>
          </w:tcPr>
          <w:p w14:paraId="49C0B25E">
            <w:pPr>
              <w:pStyle w:val="22"/>
              <w:jc w:val="center"/>
              <w:rPr>
                <w:rFonts w:hint="eastAsia" w:ascii="方正黑体_GBK" w:hAnsi="方正黑体_GBK" w:eastAsia="方正黑体_GBK" w:cs="方正黑体_GBK"/>
                <w:bCs/>
                <w:color w:val="auto"/>
                <w:sz w:val="24"/>
                <w:szCs w:val="24"/>
                <w:vertAlign w:val="baseline"/>
                <w:lang w:eastAsia="zh-CN"/>
              </w:rPr>
            </w:pPr>
            <w:r>
              <w:rPr>
                <w:rFonts w:hint="eastAsia" w:ascii="方正黑体_GBK" w:hAnsi="方正黑体_GBK" w:eastAsia="方正黑体_GBK" w:cs="方正黑体_GBK"/>
                <w:bCs/>
                <w:color w:val="auto"/>
                <w:sz w:val="24"/>
                <w:szCs w:val="24"/>
                <w:vertAlign w:val="baseline"/>
                <w:lang w:eastAsia="zh-CN"/>
              </w:rPr>
              <w:t>内容</w:t>
            </w:r>
          </w:p>
        </w:tc>
        <w:tc>
          <w:tcPr>
            <w:tcW w:w="975" w:type="dxa"/>
            <w:noWrap w:val="0"/>
            <w:vAlign w:val="center"/>
          </w:tcPr>
          <w:p w14:paraId="4D323BB3">
            <w:pPr>
              <w:pStyle w:val="22"/>
              <w:jc w:val="center"/>
              <w:rPr>
                <w:rFonts w:hint="eastAsia" w:ascii="方正黑体_GBK" w:hAnsi="方正黑体_GBK" w:eastAsia="方正黑体_GBK" w:cs="方正黑体_GBK"/>
                <w:bCs/>
                <w:color w:val="auto"/>
                <w:sz w:val="24"/>
                <w:szCs w:val="24"/>
                <w:vertAlign w:val="baseline"/>
                <w:lang w:eastAsia="zh-CN"/>
              </w:rPr>
            </w:pPr>
            <w:r>
              <w:rPr>
                <w:rFonts w:hint="eastAsia" w:ascii="方正黑体_GBK" w:hAnsi="方正黑体_GBK" w:eastAsia="方正黑体_GBK" w:cs="方正黑体_GBK"/>
                <w:bCs/>
                <w:color w:val="auto"/>
                <w:sz w:val="24"/>
                <w:szCs w:val="24"/>
                <w:vertAlign w:val="baseline"/>
                <w:lang w:eastAsia="zh-CN"/>
              </w:rPr>
              <w:t>单位</w:t>
            </w:r>
          </w:p>
        </w:tc>
        <w:tc>
          <w:tcPr>
            <w:tcW w:w="930" w:type="dxa"/>
            <w:noWrap w:val="0"/>
            <w:vAlign w:val="center"/>
          </w:tcPr>
          <w:p w14:paraId="37AEA6FE">
            <w:pPr>
              <w:pStyle w:val="22"/>
              <w:jc w:val="center"/>
              <w:rPr>
                <w:rFonts w:hint="eastAsia" w:ascii="方正黑体_GBK" w:hAnsi="方正黑体_GBK" w:eastAsia="方正黑体_GBK" w:cs="方正黑体_GBK"/>
                <w:bCs/>
                <w:color w:val="auto"/>
                <w:sz w:val="24"/>
                <w:szCs w:val="24"/>
                <w:vertAlign w:val="baseline"/>
                <w:lang w:eastAsia="zh-CN"/>
              </w:rPr>
            </w:pPr>
            <w:r>
              <w:rPr>
                <w:rFonts w:hint="eastAsia" w:ascii="方正黑体_GBK" w:hAnsi="方正黑体_GBK" w:eastAsia="方正黑体_GBK" w:cs="方正黑体_GBK"/>
                <w:bCs/>
                <w:color w:val="auto"/>
                <w:sz w:val="24"/>
                <w:szCs w:val="24"/>
                <w:vertAlign w:val="baseline"/>
                <w:lang w:eastAsia="zh-CN"/>
              </w:rPr>
              <w:t>数量</w:t>
            </w:r>
          </w:p>
        </w:tc>
        <w:tc>
          <w:tcPr>
            <w:tcW w:w="2880" w:type="dxa"/>
            <w:noWrap w:val="0"/>
            <w:vAlign w:val="center"/>
          </w:tcPr>
          <w:p w14:paraId="773D2B34">
            <w:pPr>
              <w:pStyle w:val="22"/>
              <w:jc w:val="center"/>
              <w:rPr>
                <w:rFonts w:hint="eastAsia" w:ascii="方正黑体_GBK" w:hAnsi="方正黑体_GBK" w:eastAsia="方正黑体_GBK" w:cs="方正黑体_GBK"/>
                <w:bCs/>
                <w:color w:val="auto"/>
                <w:sz w:val="24"/>
                <w:szCs w:val="24"/>
                <w:vertAlign w:val="baseline"/>
                <w:lang w:eastAsia="zh-CN"/>
              </w:rPr>
            </w:pPr>
            <w:r>
              <w:rPr>
                <w:rFonts w:hint="eastAsia" w:ascii="方正黑体_GBK" w:hAnsi="方正黑体_GBK" w:eastAsia="方正黑体_GBK" w:cs="方正黑体_GBK"/>
                <w:bCs/>
                <w:color w:val="auto"/>
                <w:sz w:val="24"/>
                <w:szCs w:val="24"/>
                <w:vertAlign w:val="baseline"/>
                <w:lang w:eastAsia="zh-CN"/>
              </w:rPr>
              <w:t>单价最高限价（</w:t>
            </w:r>
            <w:r>
              <w:rPr>
                <w:rFonts w:hint="eastAsia" w:ascii="方正黑体_GBK" w:hAnsi="方正黑体_GBK" w:eastAsia="方正黑体_GBK" w:cs="方正黑体_GBK"/>
                <w:bCs/>
                <w:color w:val="auto"/>
                <w:sz w:val="24"/>
                <w:szCs w:val="24"/>
                <w:vertAlign w:val="baseline"/>
                <w:lang w:val="en-US" w:eastAsia="zh-CN"/>
              </w:rPr>
              <w:t>元</w:t>
            </w:r>
            <w:r>
              <w:rPr>
                <w:rFonts w:hint="eastAsia" w:ascii="方正黑体_GBK" w:hAnsi="方正黑体_GBK" w:eastAsia="方正黑体_GBK" w:cs="方正黑体_GBK"/>
                <w:bCs/>
                <w:color w:val="auto"/>
                <w:sz w:val="24"/>
                <w:szCs w:val="24"/>
                <w:vertAlign w:val="baseline"/>
                <w:lang w:eastAsia="zh-CN"/>
              </w:rPr>
              <w:t>）</w:t>
            </w:r>
          </w:p>
        </w:tc>
        <w:tc>
          <w:tcPr>
            <w:tcW w:w="2310" w:type="dxa"/>
            <w:noWrap w:val="0"/>
            <w:vAlign w:val="center"/>
          </w:tcPr>
          <w:p w14:paraId="6755ECC4">
            <w:pPr>
              <w:pStyle w:val="22"/>
              <w:jc w:val="center"/>
              <w:rPr>
                <w:rFonts w:hint="eastAsia" w:ascii="方正黑体_GBK" w:hAnsi="方正黑体_GBK" w:eastAsia="方正黑体_GBK" w:cs="方正黑体_GBK"/>
                <w:bCs/>
                <w:color w:val="auto"/>
                <w:sz w:val="24"/>
                <w:szCs w:val="24"/>
                <w:vertAlign w:val="baseline"/>
                <w:lang w:eastAsia="zh-CN"/>
              </w:rPr>
            </w:pPr>
            <w:r>
              <w:rPr>
                <w:rFonts w:hint="eastAsia" w:ascii="方正黑体_GBK" w:hAnsi="方正黑体_GBK" w:eastAsia="方正黑体_GBK" w:cs="方正黑体_GBK"/>
                <w:bCs/>
                <w:color w:val="auto"/>
                <w:sz w:val="24"/>
                <w:szCs w:val="24"/>
                <w:vertAlign w:val="baseline"/>
                <w:lang w:eastAsia="zh-CN"/>
              </w:rPr>
              <w:t>单价报价（</w:t>
            </w:r>
            <w:r>
              <w:rPr>
                <w:rFonts w:hint="eastAsia" w:ascii="方正黑体_GBK" w:hAnsi="方正黑体_GBK" w:eastAsia="方正黑体_GBK" w:cs="方正黑体_GBK"/>
                <w:bCs/>
                <w:color w:val="auto"/>
                <w:sz w:val="24"/>
                <w:szCs w:val="24"/>
                <w:vertAlign w:val="baseline"/>
                <w:lang w:val="en-US" w:eastAsia="zh-CN"/>
              </w:rPr>
              <w:t>元</w:t>
            </w:r>
            <w:r>
              <w:rPr>
                <w:rFonts w:hint="eastAsia" w:ascii="方正黑体_GBK" w:hAnsi="方正黑体_GBK" w:eastAsia="方正黑体_GBK" w:cs="方正黑体_GBK"/>
                <w:bCs/>
                <w:color w:val="auto"/>
                <w:sz w:val="24"/>
                <w:szCs w:val="24"/>
                <w:vertAlign w:val="baseline"/>
                <w:lang w:eastAsia="zh-CN"/>
              </w:rPr>
              <w:t>）</w:t>
            </w:r>
          </w:p>
        </w:tc>
      </w:tr>
      <w:tr w14:paraId="293E4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5" w:type="dxa"/>
            <w:noWrap w:val="0"/>
            <w:vAlign w:val="top"/>
          </w:tcPr>
          <w:p w14:paraId="1FBA69B6">
            <w:pPr>
              <w:pStyle w:val="22"/>
              <w:jc w:val="center"/>
              <w:rPr>
                <w:rFonts w:hint="eastAsia" w:ascii="方正仿宋_GBK" w:hAnsi="方正仿宋_GBK" w:eastAsia="方正仿宋_GBK" w:cs="方正仿宋_GBK"/>
                <w:bCs/>
                <w:color w:val="auto"/>
                <w:sz w:val="24"/>
                <w:szCs w:val="24"/>
                <w:vertAlign w:val="baseline"/>
                <w:lang w:val="en-US" w:eastAsia="zh-CN"/>
              </w:rPr>
            </w:pPr>
          </w:p>
        </w:tc>
        <w:tc>
          <w:tcPr>
            <w:tcW w:w="975" w:type="dxa"/>
            <w:noWrap w:val="0"/>
            <w:vAlign w:val="top"/>
          </w:tcPr>
          <w:p w14:paraId="1F91CCEC">
            <w:pPr>
              <w:pStyle w:val="22"/>
              <w:jc w:val="center"/>
              <w:rPr>
                <w:rFonts w:hint="eastAsia" w:ascii="方正仿宋_GBK" w:hAnsi="方正仿宋_GBK" w:eastAsia="方正仿宋_GBK" w:cs="方正仿宋_GBK"/>
                <w:bCs/>
                <w:color w:val="auto"/>
                <w:sz w:val="24"/>
                <w:szCs w:val="24"/>
                <w:vertAlign w:val="baseline"/>
                <w:lang w:eastAsia="zh-CN"/>
              </w:rPr>
            </w:pPr>
          </w:p>
        </w:tc>
        <w:tc>
          <w:tcPr>
            <w:tcW w:w="930" w:type="dxa"/>
            <w:noWrap w:val="0"/>
            <w:vAlign w:val="top"/>
          </w:tcPr>
          <w:p w14:paraId="05982D8B">
            <w:pPr>
              <w:pStyle w:val="22"/>
              <w:jc w:val="center"/>
              <w:rPr>
                <w:rFonts w:hint="default" w:ascii="方正仿宋_GBK" w:hAnsi="方正仿宋_GBK" w:eastAsia="方正仿宋_GBK" w:cs="方正仿宋_GBK"/>
                <w:bCs/>
                <w:color w:val="auto"/>
                <w:sz w:val="24"/>
                <w:szCs w:val="24"/>
                <w:vertAlign w:val="baseline"/>
                <w:lang w:val="en-US" w:eastAsia="zh-CN"/>
              </w:rPr>
            </w:pPr>
          </w:p>
        </w:tc>
        <w:tc>
          <w:tcPr>
            <w:tcW w:w="2880" w:type="dxa"/>
            <w:noWrap w:val="0"/>
            <w:vAlign w:val="top"/>
          </w:tcPr>
          <w:p w14:paraId="43423622">
            <w:pPr>
              <w:pStyle w:val="22"/>
              <w:jc w:val="center"/>
              <w:rPr>
                <w:rFonts w:hint="default" w:ascii="方正仿宋_GBK" w:hAnsi="方正仿宋_GBK" w:eastAsia="方正仿宋_GBK" w:cs="方正仿宋_GBK"/>
                <w:bCs/>
                <w:color w:val="auto"/>
                <w:sz w:val="24"/>
                <w:szCs w:val="24"/>
                <w:highlight w:val="none"/>
                <w:vertAlign w:val="baseline"/>
                <w:lang w:val="en-US" w:eastAsia="zh-CN"/>
              </w:rPr>
            </w:pPr>
          </w:p>
        </w:tc>
        <w:tc>
          <w:tcPr>
            <w:tcW w:w="2310" w:type="dxa"/>
            <w:noWrap w:val="0"/>
            <w:vAlign w:val="top"/>
          </w:tcPr>
          <w:p w14:paraId="42092F6B">
            <w:pPr>
              <w:pStyle w:val="22"/>
              <w:jc w:val="center"/>
              <w:rPr>
                <w:rFonts w:hint="eastAsia" w:ascii="方正仿宋_GBK" w:hAnsi="方正仿宋_GBK" w:eastAsia="方正仿宋_GBK" w:cs="方正仿宋_GBK"/>
                <w:bCs/>
                <w:color w:val="auto"/>
                <w:sz w:val="24"/>
                <w:szCs w:val="24"/>
                <w:vertAlign w:val="baseline"/>
                <w:lang w:eastAsia="zh-CN"/>
              </w:rPr>
            </w:pPr>
          </w:p>
        </w:tc>
      </w:tr>
      <w:tr w14:paraId="481D2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5" w:type="dxa"/>
            <w:noWrap w:val="0"/>
            <w:vAlign w:val="top"/>
          </w:tcPr>
          <w:p w14:paraId="0E8863DC">
            <w:pPr>
              <w:pStyle w:val="22"/>
              <w:jc w:val="center"/>
              <w:rPr>
                <w:rFonts w:hint="eastAsia" w:ascii="方正仿宋_GBK" w:hAnsi="方正仿宋_GBK" w:eastAsia="方正仿宋_GBK" w:cs="方正仿宋_GBK"/>
                <w:bCs/>
                <w:color w:val="auto"/>
                <w:sz w:val="24"/>
                <w:szCs w:val="24"/>
                <w:vertAlign w:val="baseline"/>
                <w:lang w:val="en-US" w:eastAsia="zh-CN"/>
              </w:rPr>
            </w:pPr>
          </w:p>
        </w:tc>
        <w:tc>
          <w:tcPr>
            <w:tcW w:w="975" w:type="dxa"/>
            <w:noWrap w:val="0"/>
            <w:vAlign w:val="top"/>
          </w:tcPr>
          <w:p w14:paraId="00B82342">
            <w:pPr>
              <w:pStyle w:val="22"/>
              <w:jc w:val="center"/>
              <w:rPr>
                <w:rFonts w:hint="eastAsia" w:ascii="方正仿宋_GBK" w:hAnsi="方正仿宋_GBK" w:eastAsia="方正仿宋_GBK" w:cs="方正仿宋_GBK"/>
                <w:bCs/>
                <w:color w:val="auto"/>
                <w:sz w:val="24"/>
                <w:szCs w:val="24"/>
                <w:vertAlign w:val="baseline"/>
                <w:lang w:eastAsia="zh-CN"/>
              </w:rPr>
            </w:pPr>
          </w:p>
        </w:tc>
        <w:tc>
          <w:tcPr>
            <w:tcW w:w="930" w:type="dxa"/>
            <w:noWrap w:val="0"/>
            <w:vAlign w:val="top"/>
          </w:tcPr>
          <w:p w14:paraId="698C2BB7">
            <w:pPr>
              <w:pStyle w:val="22"/>
              <w:jc w:val="center"/>
              <w:rPr>
                <w:rFonts w:hint="default" w:ascii="方正仿宋_GBK" w:hAnsi="方正仿宋_GBK" w:eastAsia="方正仿宋_GBK" w:cs="方正仿宋_GBK"/>
                <w:bCs/>
                <w:color w:val="auto"/>
                <w:sz w:val="24"/>
                <w:szCs w:val="24"/>
                <w:vertAlign w:val="baseline"/>
                <w:lang w:val="en-US" w:eastAsia="zh-CN"/>
              </w:rPr>
            </w:pPr>
          </w:p>
        </w:tc>
        <w:tc>
          <w:tcPr>
            <w:tcW w:w="2880" w:type="dxa"/>
            <w:noWrap w:val="0"/>
            <w:vAlign w:val="top"/>
          </w:tcPr>
          <w:p w14:paraId="1279C286">
            <w:pPr>
              <w:pStyle w:val="22"/>
              <w:jc w:val="center"/>
              <w:rPr>
                <w:rFonts w:hint="default" w:ascii="方正仿宋_GBK" w:hAnsi="方正仿宋_GBK" w:eastAsia="方正仿宋_GBK" w:cs="方正仿宋_GBK"/>
                <w:bCs/>
                <w:color w:val="auto"/>
                <w:sz w:val="24"/>
                <w:szCs w:val="24"/>
                <w:highlight w:val="none"/>
                <w:vertAlign w:val="baseline"/>
                <w:lang w:val="en-US" w:eastAsia="zh-CN"/>
              </w:rPr>
            </w:pPr>
          </w:p>
        </w:tc>
        <w:tc>
          <w:tcPr>
            <w:tcW w:w="2310" w:type="dxa"/>
            <w:noWrap w:val="0"/>
            <w:vAlign w:val="top"/>
          </w:tcPr>
          <w:p w14:paraId="27192B63">
            <w:pPr>
              <w:pStyle w:val="22"/>
              <w:jc w:val="center"/>
              <w:rPr>
                <w:rFonts w:hint="eastAsia" w:ascii="方正仿宋_GBK" w:hAnsi="方正仿宋_GBK" w:eastAsia="方正仿宋_GBK" w:cs="方正仿宋_GBK"/>
                <w:bCs/>
                <w:color w:val="auto"/>
                <w:sz w:val="24"/>
                <w:szCs w:val="24"/>
                <w:vertAlign w:val="baseline"/>
                <w:lang w:eastAsia="zh-CN"/>
              </w:rPr>
            </w:pPr>
          </w:p>
        </w:tc>
      </w:tr>
      <w:tr w14:paraId="6C84F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5" w:type="dxa"/>
            <w:noWrap w:val="0"/>
            <w:vAlign w:val="top"/>
          </w:tcPr>
          <w:p w14:paraId="5E171DDE">
            <w:pPr>
              <w:pStyle w:val="22"/>
              <w:jc w:val="center"/>
              <w:rPr>
                <w:rFonts w:hint="default" w:ascii="方正仿宋_GBK" w:hAnsi="方正仿宋_GBK" w:eastAsia="方正仿宋_GBK" w:cs="方正仿宋_GBK"/>
                <w:bCs/>
                <w:color w:val="auto"/>
                <w:sz w:val="24"/>
                <w:szCs w:val="24"/>
                <w:vertAlign w:val="baseline"/>
                <w:lang w:val="en-US" w:eastAsia="zh-CN"/>
              </w:rPr>
            </w:pPr>
          </w:p>
        </w:tc>
        <w:tc>
          <w:tcPr>
            <w:tcW w:w="975" w:type="dxa"/>
            <w:noWrap w:val="0"/>
            <w:vAlign w:val="top"/>
          </w:tcPr>
          <w:p w14:paraId="7D926E55">
            <w:pPr>
              <w:pStyle w:val="22"/>
              <w:jc w:val="center"/>
              <w:rPr>
                <w:rFonts w:hint="default" w:ascii="方正仿宋_GBK" w:hAnsi="方正仿宋_GBK" w:eastAsia="方正仿宋_GBK" w:cs="方正仿宋_GBK"/>
                <w:bCs/>
                <w:color w:val="auto"/>
                <w:sz w:val="24"/>
                <w:szCs w:val="24"/>
                <w:vertAlign w:val="baseline"/>
                <w:lang w:val="en-US" w:eastAsia="zh-CN"/>
              </w:rPr>
            </w:pPr>
          </w:p>
        </w:tc>
        <w:tc>
          <w:tcPr>
            <w:tcW w:w="930" w:type="dxa"/>
            <w:noWrap w:val="0"/>
            <w:vAlign w:val="top"/>
          </w:tcPr>
          <w:p w14:paraId="23A7A1A0">
            <w:pPr>
              <w:pStyle w:val="22"/>
              <w:jc w:val="center"/>
              <w:rPr>
                <w:rFonts w:hint="default" w:ascii="方正仿宋_GBK" w:hAnsi="方正仿宋_GBK" w:eastAsia="方正仿宋_GBK" w:cs="方正仿宋_GBK"/>
                <w:bCs/>
                <w:color w:val="auto"/>
                <w:sz w:val="24"/>
                <w:szCs w:val="24"/>
                <w:vertAlign w:val="baseline"/>
                <w:lang w:val="en-US" w:eastAsia="zh-CN"/>
              </w:rPr>
            </w:pPr>
          </w:p>
        </w:tc>
        <w:tc>
          <w:tcPr>
            <w:tcW w:w="2880" w:type="dxa"/>
            <w:noWrap w:val="0"/>
            <w:vAlign w:val="top"/>
          </w:tcPr>
          <w:p w14:paraId="501F533E">
            <w:pPr>
              <w:pStyle w:val="22"/>
              <w:jc w:val="center"/>
              <w:rPr>
                <w:rFonts w:hint="default" w:ascii="方正仿宋_GBK" w:hAnsi="方正仿宋_GBK" w:eastAsia="方正仿宋_GBK" w:cs="方正仿宋_GBK"/>
                <w:bCs/>
                <w:color w:val="auto"/>
                <w:sz w:val="24"/>
                <w:szCs w:val="24"/>
                <w:highlight w:val="none"/>
                <w:vertAlign w:val="baseline"/>
                <w:lang w:val="en-US" w:eastAsia="zh-CN"/>
              </w:rPr>
            </w:pPr>
          </w:p>
        </w:tc>
        <w:tc>
          <w:tcPr>
            <w:tcW w:w="2310" w:type="dxa"/>
            <w:noWrap w:val="0"/>
            <w:vAlign w:val="top"/>
          </w:tcPr>
          <w:p w14:paraId="623D44FA">
            <w:pPr>
              <w:pStyle w:val="22"/>
              <w:jc w:val="center"/>
              <w:rPr>
                <w:rFonts w:hint="eastAsia" w:ascii="方正仿宋_GBK" w:hAnsi="方正仿宋_GBK" w:eastAsia="方正仿宋_GBK" w:cs="方正仿宋_GBK"/>
                <w:bCs/>
                <w:color w:val="auto"/>
                <w:sz w:val="24"/>
                <w:szCs w:val="24"/>
                <w:vertAlign w:val="baseline"/>
                <w:lang w:eastAsia="zh-CN"/>
              </w:rPr>
            </w:pPr>
          </w:p>
        </w:tc>
      </w:tr>
      <w:tr w14:paraId="5E40C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5" w:type="dxa"/>
            <w:noWrap w:val="0"/>
            <w:vAlign w:val="top"/>
          </w:tcPr>
          <w:p w14:paraId="286C893A">
            <w:pPr>
              <w:pStyle w:val="22"/>
              <w:jc w:val="center"/>
              <w:rPr>
                <w:rFonts w:hint="eastAsia" w:ascii="方正仿宋_GBK" w:hAnsi="方正仿宋_GBK" w:eastAsia="方正仿宋_GBK" w:cs="方正仿宋_GBK"/>
                <w:bCs/>
                <w:color w:val="auto"/>
                <w:sz w:val="24"/>
                <w:szCs w:val="24"/>
                <w:vertAlign w:val="baseline"/>
                <w:lang w:val="en-US" w:eastAsia="zh-CN"/>
              </w:rPr>
            </w:pPr>
          </w:p>
        </w:tc>
        <w:tc>
          <w:tcPr>
            <w:tcW w:w="975" w:type="dxa"/>
            <w:noWrap w:val="0"/>
            <w:vAlign w:val="top"/>
          </w:tcPr>
          <w:p w14:paraId="059EE010">
            <w:pPr>
              <w:pStyle w:val="22"/>
              <w:jc w:val="center"/>
              <w:rPr>
                <w:rFonts w:hint="eastAsia" w:ascii="方正仿宋_GBK" w:hAnsi="方正仿宋_GBK" w:eastAsia="方正仿宋_GBK" w:cs="方正仿宋_GBK"/>
                <w:bCs/>
                <w:color w:val="auto"/>
                <w:sz w:val="24"/>
                <w:szCs w:val="24"/>
                <w:vertAlign w:val="baseline"/>
                <w:lang w:eastAsia="zh-CN"/>
              </w:rPr>
            </w:pPr>
          </w:p>
        </w:tc>
        <w:tc>
          <w:tcPr>
            <w:tcW w:w="930" w:type="dxa"/>
            <w:noWrap w:val="0"/>
            <w:vAlign w:val="top"/>
          </w:tcPr>
          <w:p w14:paraId="5EED7638">
            <w:pPr>
              <w:pStyle w:val="22"/>
              <w:jc w:val="center"/>
              <w:rPr>
                <w:rFonts w:hint="default" w:ascii="方正仿宋_GBK" w:hAnsi="方正仿宋_GBK" w:eastAsia="方正仿宋_GBK" w:cs="方正仿宋_GBK"/>
                <w:bCs/>
                <w:color w:val="auto"/>
                <w:sz w:val="24"/>
                <w:szCs w:val="24"/>
                <w:vertAlign w:val="baseline"/>
                <w:lang w:val="en-US" w:eastAsia="zh-CN"/>
              </w:rPr>
            </w:pPr>
          </w:p>
        </w:tc>
        <w:tc>
          <w:tcPr>
            <w:tcW w:w="2880" w:type="dxa"/>
            <w:noWrap w:val="0"/>
            <w:vAlign w:val="top"/>
          </w:tcPr>
          <w:p w14:paraId="1CCD6C32">
            <w:pPr>
              <w:pStyle w:val="22"/>
              <w:jc w:val="center"/>
              <w:rPr>
                <w:rFonts w:hint="default" w:ascii="方正仿宋_GBK" w:hAnsi="方正仿宋_GBK" w:eastAsia="方正仿宋_GBK" w:cs="方正仿宋_GBK"/>
                <w:bCs/>
                <w:color w:val="auto"/>
                <w:sz w:val="24"/>
                <w:szCs w:val="24"/>
                <w:highlight w:val="none"/>
                <w:vertAlign w:val="baseline"/>
                <w:lang w:val="en-US" w:eastAsia="zh-CN"/>
              </w:rPr>
            </w:pPr>
          </w:p>
        </w:tc>
        <w:tc>
          <w:tcPr>
            <w:tcW w:w="2310" w:type="dxa"/>
            <w:noWrap w:val="0"/>
            <w:vAlign w:val="top"/>
          </w:tcPr>
          <w:p w14:paraId="0424B23B">
            <w:pPr>
              <w:pStyle w:val="22"/>
              <w:jc w:val="center"/>
              <w:rPr>
                <w:rFonts w:hint="eastAsia" w:ascii="方正仿宋_GBK" w:hAnsi="方正仿宋_GBK" w:eastAsia="方正仿宋_GBK" w:cs="方正仿宋_GBK"/>
                <w:bCs/>
                <w:color w:val="auto"/>
                <w:sz w:val="24"/>
                <w:szCs w:val="24"/>
                <w:vertAlign w:val="baseline"/>
                <w:lang w:eastAsia="zh-CN"/>
              </w:rPr>
            </w:pPr>
          </w:p>
        </w:tc>
      </w:tr>
      <w:tr w14:paraId="4BF21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5" w:type="dxa"/>
            <w:noWrap w:val="0"/>
            <w:vAlign w:val="top"/>
          </w:tcPr>
          <w:p w14:paraId="4B0F49BE">
            <w:pPr>
              <w:pStyle w:val="22"/>
              <w:jc w:val="center"/>
              <w:rPr>
                <w:rFonts w:hint="default" w:ascii="方正仿宋_GBK" w:hAnsi="方正仿宋_GBK" w:eastAsia="方正仿宋_GBK" w:cs="方正仿宋_GBK"/>
                <w:bCs/>
                <w:color w:val="auto"/>
                <w:sz w:val="24"/>
                <w:szCs w:val="24"/>
                <w:vertAlign w:val="baseline"/>
                <w:lang w:val="en-US" w:eastAsia="zh-CN"/>
              </w:rPr>
            </w:pPr>
          </w:p>
        </w:tc>
        <w:tc>
          <w:tcPr>
            <w:tcW w:w="975" w:type="dxa"/>
            <w:noWrap w:val="0"/>
            <w:vAlign w:val="top"/>
          </w:tcPr>
          <w:p w14:paraId="3732A2D5">
            <w:pPr>
              <w:pStyle w:val="22"/>
              <w:jc w:val="center"/>
              <w:rPr>
                <w:rFonts w:hint="default" w:ascii="方正仿宋_GBK" w:hAnsi="方正仿宋_GBK" w:eastAsia="方正仿宋_GBK" w:cs="方正仿宋_GBK"/>
                <w:bCs/>
                <w:color w:val="auto"/>
                <w:sz w:val="24"/>
                <w:szCs w:val="24"/>
                <w:vertAlign w:val="baseline"/>
                <w:lang w:val="en-US" w:eastAsia="zh-CN"/>
              </w:rPr>
            </w:pPr>
          </w:p>
        </w:tc>
        <w:tc>
          <w:tcPr>
            <w:tcW w:w="930" w:type="dxa"/>
            <w:noWrap w:val="0"/>
            <w:vAlign w:val="top"/>
          </w:tcPr>
          <w:p w14:paraId="23BF68A5">
            <w:pPr>
              <w:pStyle w:val="22"/>
              <w:jc w:val="center"/>
              <w:rPr>
                <w:rFonts w:hint="default" w:ascii="方正仿宋_GBK" w:hAnsi="方正仿宋_GBK" w:eastAsia="方正仿宋_GBK" w:cs="方正仿宋_GBK"/>
                <w:bCs/>
                <w:color w:val="auto"/>
                <w:sz w:val="24"/>
                <w:szCs w:val="24"/>
                <w:vertAlign w:val="baseline"/>
                <w:lang w:val="en-US" w:eastAsia="zh-CN"/>
              </w:rPr>
            </w:pPr>
          </w:p>
        </w:tc>
        <w:tc>
          <w:tcPr>
            <w:tcW w:w="2880" w:type="dxa"/>
            <w:noWrap w:val="0"/>
            <w:vAlign w:val="top"/>
          </w:tcPr>
          <w:p w14:paraId="1D52E027">
            <w:pPr>
              <w:pStyle w:val="22"/>
              <w:jc w:val="center"/>
              <w:rPr>
                <w:rFonts w:hint="default" w:ascii="方正仿宋_GBK" w:hAnsi="方正仿宋_GBK" w:eastAsia="方正仿宋_GBK" w:cs="方正仿宋_GBK"/>
                <w:bCs/>
                <w:color w:val="auto"/>
                <w:sz w:val="24"/>
                <w:szCs w:val="24"/>
                <w:highlight w:val="none"/>
                <w:vertAlign w:val="baseline"/>
                <w:lang w:val="en-US" w:eastAsia="zh-CN"/>
              </w:rPr>
            </w:pPr>
          </w:p>
        </w:tc>
        <w:tc>
          <w:tcPr>
            <w:tcW w:w="2310" w:type="dxa"/>
            <w:noWrap w:val="0"/>
            <w:vAlign w:val="top"/>
          </w:tcPr>
          <w:p w14:paraId="12574A38">
            <w:pPr>
              <w:pStyle w:val="22"/>
              <w:jc w:val="center"/>
              <w:rPr>
                <w:rFonts w:hint="eastAsia" w:ascii="方正仿宋_GBK" w:hAnsi="方正仿宋_GBK" w:eastAsia="方正仿宋_GBK" w:cs="方正仿宋_GBK"/>
                <w:bCs/>
                <w:color w:val="auto"/>
                <w:sz w:val="24"/>
                <w:szCs w:val="24"/>
                <w:vertAlign w:val="baseline"/>
                <w:lang w:eastAsia="zh-CN"/>
              </w:rPr>
            </w:pPr>
          </w:p>
        </w:tc>
      </w:tr>
      <w:tr w14:paraId="344E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9680" w:type="dxa"/>
            <w:gridSpan w:val="5"/>
            <w:noWrap w:val="0"/>
            <w:vAlign w:val="center"/>
          </w:tcPr>
          <w:p w14:paraId="2976C2DB">
            <w:pPr>
              <w:pStyle w:val="22"/>
              <w:jc w:val="both"/>
              <w:rPr>
                <w:rFonts w:hint="eastAsia" w:ascii="方正仿宋_GBK" w:hAnsi="方正仿宋_GBK" w:eastAsia="方正仿宋_GBK" w:cs="方正仿宋_GBK"/>
                <w:bCs/>
                <w:color w:val="auto"/>
                <w:sz w:val="24"/>
                <w:szCs w:val="24"/>
                <w:vertAlign w:val="baseline"/>
                <w:lang w:eastAsia="zh-CN"/>
              </w:rPr>
            </w:pPr>
            <w:r>
              <w:rPr>
                <w:rFonts w:hint="eastAsia"/>
                <w:color w:val="auto"/>
                <w:sz w:val="24"/>
                <w:szCs w:val="24"/>
                <w:lang w:eastAsia="zh-CN"/>
              </w:rPr>
              <w:t>总报价：（小写）</w:t>
            </w:r>
            <w:r>
              <w:rPr>
                <w:rFonts w:hint="eastAsia"/>
                <w:color w:val="auto"/>
                <w:sz w:val="24"/>
                <w:szCs w:val="24"/>
                <w:u w:val="single"/>
                <w:lang w:val="en-US" w:eastAsia="zh-CN"/>
              </w:rPr>
              <w:t xml:space="preserve">            </w:t>
            </w:r>
            <w:r>
              <w:rPr>
                <w:rFonts w:hint="eastAsia"/>
                <w:color w:val="auto"/>
                <w:sz w:val="24"/>
                <w:szCs w:val="24"/>
                <w:lang w:val="en-US" w:eastAsia="zh-CN"/>
              </w:rPr>
              <w:t>（大写）：人民币</w:t>
            </w:r>
            <w:r>
              <w:rPr>
                <w:rFonts w:hint="eastAsia"/>
                <w:color w:val="auto"/>
                <w:sz w:val="24"/>
                <w:szCs w:val="24"/>
                <w:u w:val="single"/>
                <w:lang w:val="en-US" w:eastAsia="zh-CN"/>
              </w:rPr>
              <w:t xml:space="preserve">            </w:t>
            </w:r>
          </w:p>
        </w:tc>
      </w:tr>
    </w:tbl>
    <w:p w14:paraId="3907B56C">
      <w:pPr>
        <w:pageBreakBefore w:val="0"/>
        <w:kinsoku/>
        <w:wordWrap/>
        <w:overflowPunct/>
        <w:topLinePunct w:val="0"/>
        <w:autoSpaceDE/>
        <w:autoSpaceDN/>
        <w:bidi w:val="0"/>
        <w:snapToGrid w:val="0"/>
        <w:spacing w:line="580" w:lineRule="exact"/>
        <w:ind w:firstLine="0" w:firstLineChars="0"/>
        <w:textAlignment w:val="auto"/>
        <w:rPr>
          <w:rFonts w:hint="eastAsia" w:ascii="方正仿宋_GBK" w:hAnsi="方正仿宋_GBK" w:eastAsia="方正仿宋_GBK" w:cs="方正仿宋_GBK"/>
          <w:color w:val="auto"/>
          <w:sz w:val="24"/>
          <w:szCs w:val="24"/>
        </w:rPr>
      </w:pPr>
    </w:p>
    <w:p w14:paraId="1E41B315">
      <w:pPr>
        <w:pageBreakBefore w:val="0"/>
        <w:kinsoku/>
        <w:wordWrap/>
        <w:overflowPunct/>
        <w:topLinePunct w:val="0"/>
        <w:autoSpaceDE/>
        <w:autoSpaceDN/>
        <w:bidi w:val="0"/>
        <w:snapToGrid w:val="0"/>
        <w:spacing w:line="580" w:lineRule="exact"/>
        <w:ind w:firstLine="0" w:firstLineChars="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注：1.供应商应完整填写本表。</w:t>
      </w:r>
    </w:p>
    <w:p w14:paraId="6CC48F93">
      <w:pPr>
        <w:pageBreakBefore w:val="0"/>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24"/>
          <w:szCs w:val="24"/>
        </w:rPr>
        <w:t xml:space="preserve">  </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rPr>
        <w:t>2.该表可扩展。</w:t>
      </w:r>
    </w:p>
    <w:p w14:paraId="6EDA78B7">
      <w:pPr>
        <w:pStyle w:val="38"/>
        <w:pageBreakBefore w:val="0"/>
        <w:kinsoku/>
        <w:wordWrap/>
        <w:overflowPunct/>
        <w:topLinePunct w:val="0"/>
        <w:autoSpaceDE/>
        <w:autoSpaceDN/>
        <w:bidi w:val="0"/>
        <w:spacing w:line="580" w:lineRule="exact"/>
        <w:textAlignment w:val="auto"/>
        <w:rPr>
          <w:rFonts w:hint="eastAsia" w:ascii="方正仿宋_GBK" w:hAnsi="方正仿宋_GBK" w:eastAsia="方正仿宋_GBK" w:cs="方正仿宋_GBK"/>
          <w:color w:val="auto"/>
          <w:sz w:val="32"/>
          <w:szCs w:val="32"/>
        </w:rPr>
      </w:pPr>
    </w:p>
    <w:p w14:paraId="67C54841">
      <w:pPr>
        <w:pStyle w:val="38"/>
        <w:pageBreakBefore w:val="0"/>
        <w:kinsoku/>
        <w:wordWrap/>
        <w:overflowPunct/>
        <w:topLinePunct w:val="0"/>
        <w:autoSpaceDE/>
        <w:autoSpaceDN/>
        <w:bidi w:val="0"/>
        <w:spacing w:line="58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w:t>
      </w:r>
    </w:p>
    <w:p w14:paraId="4E584AF2">
      <w:pPr>
        <w:pageBreakBefore w:val="0"/>
        <w:kinsoku/>
        <w:wordWrap/>
        <w:overflowPunct/>
        <w:topLinePunct w:val="0"/>
        <w:autoSpaceDE/>
        <w:autoSpaceDN/>
        <w:bidi w:val="0"/>
        <w:spacing w:line="580" w:lineRule="exact"/>
        <w:textAlignment w:val="auto"/>
        <w:rPr>
          <w:rFonts w:hint="eastAsia" w:ascii="方正仿宋_GBK" w:hAnsi="方正仿宋_GBK" w:eastAsia="方正仿宋_GBK" w:cs="方正仿宋_GBK"/>
          <w:color w:val="auto"/>
          <w:sz w:val="32"/>
          <w:szCs w:val="32"/>
        </w:rPr>
      </w:pPr>
    </w:p>
    <w:p w14:paraId="1A7C8896">
      <w:pPr>
        <w:pageBreakBefore w:val="0"/>
        <w:kinsoku/>
        <w:wordWrap/>
        <w:overflowPunct/>
        <w:topLinePunct w:val="0"/>
        <w:autoSpaceDE/>
        <w:autoSpaceDN/>
        <w:bidi w:val="0"/>
        <w:spacing w:line="580" w:lineRule="exact"/>
        <w:textAlignment w:val="auto"/>
        <w:rPr>
          <w:rFonts w:hint="eastAsia" w:ascii="方正仿宋_GBK" w:hAnsi="方正仿宋_GBK" w:eastAsia="方正仿宋_GBK" w:cs="方正仿宋_GBK"/>
          <w:color w:val="auto"/>
          <w:sz w:val="32"/>
          <w:szCs w:val="32"/>
        </w:rPr>
      </w:pPr>
    </w:p>
    <w:p w14:paraId="6E26E15D">
      <w:pPr>
        <w:pageBreakBefore w:val="0"/>
        <w:kinsoku/>
        <w:wordWrap/>
        <w:overflowPunct/>
        <w:topLinePunct w:val="0"/>
        <w:autoSpaceDE/>
        <w:autoSpaceDN/>
        <w:bidi w:val="0"/>
        <w:spacing w:line="580" w:lineRule="exact"/>
        <w:ind w:firstLine="2160" w:firstLineChars="9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   供应商名称（公章）或自然人签署：</w:t>
      </w:r>
    </w:p>
    <w:p w14:paraId="7AD05A02">
      <w:pPr>
        <w:pageBreakBefore w:val="0"/>
        <w:kinsoku/>
        <w:wordWrap/>
        <w:overflowPunct/>
        <w:topLinePunct w:val="0"/>
        <w:autoSpaceDE/>
        <w:autoSpaceDN/>
        <w:bidi w:val="0"/>
        <w:spacing w:line="580" w:lineRule="exact"/>
        <w:ind w:right="480" w:firstLine="0" w:firstLineChars="0"/>
        <w:textAlignment w:val="auto"/>
        <w:rPr>
          <w:rFonts w:hint="eastAsia" w:ascii="方正仿宋_GBK" w:hAnsi="方正仿宋_GBK" w:eastAsia="方正仿宋_GBK" w:cs="方正仿宋_GBK"/>
          <w:color w:val="auto"/>
          <w:sz w:val="24"/>
          <w:szCs w:val="24"/>
        </w:rPr>
      </w:pPr>
    </w:p>
    <w:p w14:paraId="2184DC87">
      <w:pPr>
        <w:pageBreakBefore w:val="0"/>
        <w:kinsoku/>
        <w:wordWrap/>
        <w:overflowPunct/>
        <w:topLinePunct w:val="0"/>
        <w:autoSpaceDE/>
        <w:autoSpaceDN/>
        <w:bidi w:val="0"/>
        <w:spacing w:line="580" w:lineRule="exact"/>
        <w:ind w:right="480" w:firstLine="3840" w:firstLineChars="16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年     月    日</w:t>
      </w:r>
    </w:p>
    <w:p w14:paraId="496B8BD2">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bdr w:val="single" w:color="auto" w:sz="4" w:space="0"/>
        </w:rPr>
      </w:pPr>
    </w:p>
    <w:p w14:paraId="0FAA55C9">
      <w:pPr>
        <w:pStyle w:val="22"/>
        <w:rPr>
          <w:rFonts w:hint="eastAsia" w:ascii="方正仿宋_GBK" w:hAnsi="方正仿宋_GBK" w:eastAsia="方正仿宋_GBK" w:cs="方正仿宋_GBK"/>
          <w:color w:val="auto"/>
          <w:sz w:val="32"/>
          <w:szCs w:val="32"/>
          <w:bdr w:val="single" w:color="auto" w:sz="4" w:space="0"/>
        </w:rPr>
      </w:pPr>
    </w:p>
    <w:p w14:paraId="03AE002F">
      <w:pPr>
        <w:pStyle w:val="23"/>
        <w:rPr>
          <w:rFonts w:hint="eastAsia" w:ascii="方正仿宋_GBK" w:hAnsi="方正仿宋_GBK" w:eastAsia="方正仿宋_GBK" w:cs="方正仿宋_GBK"/>
          <w:color w:val="auto"/>
          <w:sz w:val="32"/>
          <w:szCs w:val="32"/>
          <w:bdr w:val="single" w:color="auto" w:sz="4" w:space="0"/>
        </w:rPr>
      </w:pPr>
    </w:p>
    <w:p w14:paraId="209A80E8">
      <w:pPr>
        <w:pStyle w:val="23"/>
        <w:rPr>
          <w:rFonts w:hint="eastAsia" w:ascii="方正仿宋_GBK" w:hAnsi="方正仿宋_GBK" w:eastAsia="方正仿宋_GBK" w:cs="方正仿宋_GBK"/>
          <w:color w:val="auto"/>
          <w:sz w:val="32"/>
          <w:szCs w:val="32"/>
          <w:bdr w:val="single" w:color="auto" w:sz="4" w:space="0"/>
        </w:rPr>
        <w:sectPr>
          <w:pgSz w:w="11907" w:h="16840"/>
          <w:pgMar w:top="1134" w:right="1191" w:bottom="1134" w:left="1304" w:header="851" w:footer="992" w:gutter="0"/>
          <w:pgNumType w:fmt="numberInDash"/>
          <w:cols w:space="720" w:num="1"/>
          <w:docGrid w:linePitch="380" w:charSpace="-5735"/>
        </w:sectPr>
      </w:pPr>
    </w:p>
    <w:p w14:paraId="3B627D27">
      <w:pPr>
        <w:pStyle w:val="3"/>
        <w:pageBreakBefore w:val="0"/>
        <w:kinsoku/>
        <w:wordWrap/>
        <w:overflowPunct/>
        <w:topLinePunct w:val="0"/>
        <w:autoSpaceDE/>
        <w:autoSpaceDN/>
        <w:bidi w:val="0"/>
        <w:adjustRightInd w:val="0"/>
        <w:snapToGrid w:val="0"/>
        <w:spacing w:before="0" w:after="0" w:line="580" w:lineRule="exact"/>
        <w:jc w:val="left"/>
        <w:textAlignment w:val="auto"/>
        <w:outlineLvl w:val="0"/>
        <w:rPr>
          <w:rFonts w:hint="eastAsia" w:ascii="方正黑体_GBK" w:hAnsi="方正黑体_GBK" w:eastAsia="方正黑体_GBK" w:cs="方正黑体_GBK"/>
          <w:b w:val="0"/>
          <w:bCs/>
          <w:color w:val="auto"/>
          <w:sz w:val="32"/>
          <w:szCs w:val="32"/>
        </w:rPr>
      </w:pPr>
      <w:bookmarkStart w:id="295" w:name="_Toc4288"/>
      <w:bookmarkStart w:id="296" w:name="_Toc25411"/>
      <w:bookmarkStart w:id="297" w:name="_Toc342913420"/>
      <w:bookmarkStart w:id="298" w:name="_Toc22313"/>
      <w:bookmarkStart w:id="299" w:name="_Toc29582"/>
      <w:bookmarkStart w:id="300" w:name="_Toc28779"/>
      <w:bookmarkStart w:id="301" w:name="_Toc15116"/>
      <w:bookmarkStart w:id="302" w:name="_Toc23625"/>
      <w:bookmarkStart w:id="303" w:name="_Toc7071"/>
      <w:bookmarkStart w:id="304" w:name="_Toc255"/>
      <w:bookmarkStart w:id="305" w:name="_Toc18679"/>
      <w:bookmarkStart w:id="306" w:name="_Toc17460"/>
      <w:bookmarkStart w:id="307" w:name="_Toc16376"/>
      <w:bookmarkStart w:id="308" w:name="_Toc25494"/>
      <w:bookmarkStart w:id="309" w:name="_Toc76462351"/>
      <w:bookmarkStart w:id="310" w:name="_Toc4111"/>
      <w:bookmarkStart w:id="311" w:name="_Toc32746"/>
      <w:bookmarkStart w:id="312" w:name="_Toc313888361"/>
      <w:bookmarkStart w:id="313" w:name="_Toc313008357"/>
      <w:bookmarkStart w:id="314" w:name="_Toc12788"/>
      <w:bookmarkStart w:id="315" w:name="_Toc11754"/>
      <w:bookmarkStart w:id="316" w:name="_Toc31255"/>
      <w:bookmarkStart w:id="317" w:name="_Toc26245"/>
      <w:bookmarkStart w:id="318" w:name="_Toc19994"/>
      <w:bookmarkStart w:id="319" w:name="_Toc26593"/>
      <w:bookmarkStart w:id="320" w:name="_Toc18490"/>
      <w:r>
        <w:rPr>
          <w:rFonts w:hint="eastAsia" w:ascii="方正黑体_GBK" w:hAnsi="方正黑体_GBK" w:eastAsia="方正黑体_GBK" w:cs="方正黑体_GBK"/>
          <w:b w:val="0"/>
          <w:bCs/>
          <w:color w:val="auto"/>
          <w:sz w:val="32"/>
          <w:szCs w:val="32"/>
        </w:rPr>
        <w:t>二、服务部分</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14:paraId="19B097ED">
      <w:pPr>
        <w:pageBreakBefore w:val="0"/>
        <w:tabs>
          <w:tab w:val="left" w:pos="6300"/>
        </w:tabs>
        <w:kinsoku/>
        <w:wordWrap/>
        <w:overflowPunct/>
        <w:topLinePunct w:val="0"/>
        <w:autoSpaceDE/>
        <w:autoSpaceDN/>
        <w:bidi w:val="0"/>
        <w:snapToGrid w:val="0"/>
        <w:spacing w:line="580" w:lineRule="exact"/>
        <w:ind w:firstLine="640" w:firstLineChars="200"/>
        <w:textAlignment w:val="auto"/>
        <w:outlineLvl w:val="1"/>
        <w:rPr>
          <w:rFonts w:hint="eastAsia" w:ascii="方正楷体_GBK" w:hAnsi="方正楷体_GBK" w:eastAsia="方正楷体_GBK" w:cs="方正楷体_GBK"/>
          <w:color w:val="auto"/>
          <w:sz w:val="32"/>
          <w:szCs w:val="32"/>
        </w:rPr>
      </w:pPr>
      <w:bookmarkStart w:id="321" w:name="_Toc21741"/>
      <w:r>
        <w:rPr>
          <w:rFonts w:hint="eastAsia" w:ascii="方正楷体_GBK" w:hAnsi="方正楷体_GBK" w:eastAsia="方正楷体_GBK" w:cs="方正楷体_GBK"/>
          <w:color w:val="auto"/>
          <w:sz w:val="32"/>
          <w:szCs w:val="32"/>
        </w:rPr>
        <w:t>（一）服务响应偏离表</w:t>
      </w:r>
      <w:bookmarkEnd w:id="321"/>
    </w:p>
    <w:p w14:paraId="09D3EF89">
      <w:pPr>
        <w:pageBreakBefore w:val="0"/>
        <w:kinsoku/>
        <w:wordWrap/>
        <w:overflowPunct/>
        <w:topLinePunct w:val="0"/>
        <w:autoSpaceDE/>
        <w:autoSpaceDN/>
        <w:bidi w:val="0"/>
        <w:spacing w:line="58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项目号：                                </w:t>
      </w:r>
    </w:p>
    <w:p w14:paraId="72A1886E">
      <w:pPr>
        <w:pageBreakBefore w:val="0"/>
        <w:kinsoku/>
        <w:wordWrap/>
        <w:overflowPunct/>
        <w:topLinePunct w:val="0"/>
        <w:autoSpaceDE/>
        <w:autoSpaceDN/>
        <w:bidi w:val="0"/>
        <w:spacing w:line="58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项目名称：</w:t>
      </w: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2967"/>
        <w:gridCol w:w="3081"/>
        <w:gridCol w:w="2309"/>
      </w:tblGrid>
      <w:tr w14:paraId="343D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pct"/>
            <w:noWrap w:val="0"/>
            <w:vAlign w:val="center"/>
          </w:tcPr>
          <w:p w14:paraId="49C45ABE">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序号</w:t>
            </w:r>
          </w:p>
        </w:tc>
        <w:tc>
          <w:tcPr>
            <w:tcW w:w="1541" w:type="pct"/>
            <w:noWrap w:val="0"/>
            <w:vAlign w:val="center"/>
          </w:tcPr>
          <w:p w14:paraId="7A92AA87">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项目服务</w:t>
            </w:r>
            <w:r>
              <w:rPr>
                <w:rFonts w:hint="eastAsia" w:ascii="方正仿宋_GBK" w:hAnsi="方正仿宋_GBK" w:eastAsia="方正仿宋_GBK" w:cs="方正仿宋_GBK"/>
                <w:color w:val="auto"/>
                <w:sz w:val="24"/>
                <w:szCs w:val="24"/>
                <w:lang w:val="en-US" w:eastAsia="zh-CN"/>
              </w:rPr>
              <w:t>要</w:t>
            </w:r>
            <w:r>
              <w:rPr>
                <w:rFonts w:hint="eastAsia" w:ascii="方正仿宋_GBK" w:hAnsi="方正仿宋_GBK" w:eastAsia="方正仿宋_GBK" w:cs="方正仿宋_GBK"/>
                <w:color w:val="auto"/>
                <w:sz w:val="24"/>
                <w:szCs w:val="24"/>
              </w:rPr>
              <w:t>求</w:t>
            </w:r>
          </w:p>
        </w:tc>
        <w:tc>
          <w:tcPr>
            <w:tcW w:w="1600" w:type="pct"/>
            <w:noWrap w:val="0"/>
            <w:vAlign w:val="center"/>
          </w:tcPr>
          <w:p w14:paraId="7298378B">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响应情况</w:t>
            </w:r>
          </w:p>
        </w:tc>
        <w:tc>
          <w:tcPr>
            <w:tcW w:w="1199" w:type="pct"/>
            <w:noWrap w:val="0"/>
            <w:vAlign w:val="center"/>
          </w:tcPr>
          <w:p w14:paraId="1C09C645">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差异说明</w:t>
            </w:r>
          </w:p>
        </w:tc>
      </w:tr>
      <w:tr w14:paraId="37DBE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4DB043E1">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541" w:type="pct"/>
            <w:noWrap w:val="0"/>
            <w:vAlign w:val="center"/>
          </w:tcPr>
          <w:p w14:paraId="0536D804">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600" w:type="pct"/>
            <w:noWrap w:val="0"/>
            <w:vAlign w:val="center"/>
          </w:tcPr>
          <w:p w14:paraId="36854D9B">
            <w:pPr>
              <w:pageBreakBefore w:val="0"/>
              <w:tabs>
                <w:tab w:val="left" w:pos="6300"/>
              </w:tabs>
              <w:kinsoku/>
              <w:wordWrap/>
              <w:overflowPunct/>
              <w:topLinePunct w:val="0"/>
              <w:autoSpaceDE/>
              <w:autoSpaceDN/>
              <w:bidi w:val="0"/>
              <w:snapToGrid w:val="0"/>
              <w:spacing w:line="580" w:lineRule="exact"/>
              <w:textAlignment w:val="auto"/>
              <w:outlineLvl w:val="9"/>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提醒：请注明具体内容以及响应文件中具体内容的位置（页码）</w:t>
            </w:r>
          </w:p>
        </w:tc>
        <w:tc>
          <w:tcPr>
            <w:tcW w:w="1199" w:type="pct"/>
            <w:noWrap w:val="0"/>
            <w:vAlign w:val="center"/>
          </w:tcPr>
          <w:p w14:paraId="500F2255">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r>
      <w:tr w14:paraId="00DB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34854543">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541" w:type="pct"/>
            <w:noWrap w:val="0"/>
            <w:vAlign w:val="center"/>
          </w:tcPr>
          <w:p w14:paraId="56B3A82E">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600" w:type="pct"/>
            <w:noWrap w:val="0"/>
            <w:vAlign w:val="center"/>
          </w:tcPr>
          <w:p w14:paraId="456B15BC">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199" w:type="pct"/>
            <w:noWrap w:val="0"/>
            <w:vAlign w:val="center"/>
          </w:tcPr>
          <w:p w14:paraId="495E84E3">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r>
      <w:tr w14:paraId="05D1A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2B1D0F1C">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541" w:type="pct"/>
            <w:noWrap w:val="0"/>
            <w:vAlign w:val="center"/>
          </w:tcPr>
          <w:p w14:paraId="5863F946">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600" w:type="pct"/>
            <w:noWrap w:val="0"/>
            <w:vAlign w:val="center"/>
          </w:tcPr>
          <w:p w14:paraId="074A3A01">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199" w:type="pct"/>
            <w:noWrap w:val="0"/>
            <w:vAlign w:val="center"/>
          </w:tcPr>
          <w:p w14:paraId="7C14F01A">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r>
      <w:tr w14:paraId="472D7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0C797AE3">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541" w:type="pct"/>
            <w:noWrap w:val="0"/>
            <w:vAlign w:val="center"/>
          </w:tcPr>
          <w:p w14:paraId="114BF426">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600" w:type="pct"/>
            <w:noWrap w:val="0"/>
            <w:vAlign w:val="center"/>
          </w:tcPr>
          <w:p w14:paraId="1BA6A316">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199" w:type="pct"/>
            <w:noWrap w:val="0"/>
            <w:vAlign w:val="center"/>
          </w:tcPr>
          <w:p w14:paraId="60CCDF9A">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r>
      <w:tr w14:paraId="23AE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1DB7697A">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541" w:type="pct"/>
            <w:noWrap w:val="0"/>
            <w:vAlign w:val="center"/>
          </w:tcPr>
          <w:p w14:paraId="0D117209">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600" w:type="pct"/>
            <w:noWrap w:val="0"/>
            <w:vAlign w:val="center"/>
          </w:tcPr>
          <w:p w14:paraId="5969B75B">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199" w:type="pct"/>
            <w:noWrap w:val="0"/>
            <w:vAlign w:val="center"/>
          </w:tcPr>
          <w:p w14:paraId="26604E64">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r>
      <w:tr w14:paraId="3E8FB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707A2A5B">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541" w:type="pct"/>
            <w:noWrap w:val="0"/>
            <w:vAlign w:val="center"/>
          </w:tcPr>
          <w:p w14:paraId="2686E2ED">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600" w:type="pct"/>
            <w:noWrap w:val="0"/>
            <w:vAlign w:val="center"/>
          </w:tcPr>
          <w:p w14:paraId="4C47D5C4">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199" w:type="pct"/>
            <w:noWrap w:val="0"/>
            <w:vAlign w:val="center"/>
          </w:tcPr>
          <w:p w14:paraId="56ED3555">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r>
      <w:tr w14:paraId="10969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7D14E26F">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541" w:type="pct"/>
            <w:noWrap w:val="0"/>
            <w:vAlign w:val="center"/>
          </w:tcPr>
          <w:p w14:paraId="2F28614B">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600" w:type="pct"/>
            <w:noWrap w:val="0"/>
            <w:vAlign w:val="center"/>
          </w:tcPr>
          <w:p w14:paraId="6D93EA43">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199" w:type="pct"/>
            <w:noWrap w:val="0"/>
            <w:vAlign w:val="center"/>
          </w:tcPr>
          <w:p w14:paraId="78BED161">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r>
      <w:tr w14:paraId="05DD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076C2AA7">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541" w:type="pct"/>
            <w:noWrap w:val="0"/>
            <w:vAlign w:val="center"/>
          </w:tcPr>
          <w:p w14:paraId="71B83628">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600" w:type="pct"/>
            <w:noWrap w:val="0"/>
            <w:vAlign w:val="center"/>
          </w:tcPr>
          <w:p w14:paraId="285052E8">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199" w:type="pct"/>
            <w:noWrap w:val="0"/>
            <w:vAlign w:val="center"/>
          </w:tcPr>
          <w:p w14:paraId="3E19E5FA">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r>
      <w:tr w14:paraId="06D6B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410BF51C">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541" w:type="pct"/>
            <w:noWrap w:val="0"/>
            <w:vAlign w:val="center"/>
          </w:tcPr>
          <w:p w14:paraId="4D049E2C">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600" w:type="pct"/>
            <w:noWrap w:val="0"/>
            <w:vAlign w:val="center"/>
          </w:tcPr>
          <w:p w14:paraId="38299D32">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199" w:type="pct"/>
            <w:noWrap w:val="0"/>
            <w:vAlign w:val="center"/>
          </w:tcPr>
          <w:p w14:paraId="1600C497">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r>
      <w:tr w14:paraId="68A5A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76BF59D7">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541" w:type="pct"/>
            <w:noWrap w:val="0"/>
            <w:vAlign w:val="center"/>
          </w:tcPr>
          <w:p w14:paraId="13F105EC">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600" w:type="pct"/>
            <w:noWrap w:val="0"/>
            <w:vAlign w:val="center"/>
          </w:tcPr>
          <w:p w14:paraId="5F5F5906">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199" w:type="pct"/>
            <w:noWrap w:val="0"/>
            <w:vAlign w:val="center"/>
          </w:tcPr>
          <w:p w14:paraId="34CAD476">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r>
    </w:tbl>
    <w:p w14:paraId="5D04A442">
      <w:pPr>
        <w:pageBreakBefore w:val="0"/>
        <w:tabs>
          <w:tab w:val="left" w:pos="6300"/>
        </w:tabs>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24"/>
          <w:szCs w:val="24"/>
        </w:rPr>
      </w:pPr>
    </w:p>
    <w:p w14:paraId="373C3AAA">
      <w:pPr>
        <w:pageBreakBefore w:val="0"/>
        <w:kinsoku/>
        <w:wordWrap/>
        <w:overflowPunct/>
        <w:topLinePunct w:val="0"/>
        <w:autoSpaceDE/>
        <w:autoSpaceDN/>
        <w:bidi w:val="0"/>
        <w:spacing w:line="580" w:lineRule="exact"/>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供应商：                          法定代表人（或其授权代表）或自然人：</w:t>
      </w:r>
    </w:p>
    <w:p w14:paraId="312E8B61">
      <w:pPr>
        <w:pageBreakBefore w:val="0"/>
        <w:kinsoku/>
        <w:wordWrap/>
        <w:overflowPunct/>
        <w:topLinePunct w:val="0"/>
        <w:autoSpaceDE/>
        <w:autoSpaceDN/>
        <w:bidi w:val="0"/>
        <w:spacing w:line="580" w:lineRule="exact"/>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   （供应商公章）                （签署或盖章）</w:t>
      </w:r>
    </w:p>
    <w:p w14:paraId="4164BA4A">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                年     月     日</w:t>
      </w:r>
    </w:p>
    <w:p w14:paraId="4D3FD6CC">
      <w:pPr>
        <w:pageBreakBefore w:val="0"/>
        <w:tabs>
          <w:tab w:val="left" w:pos="6300"/>
        </w:tabs>
        <w:kinsoku/>
        <w:wordWrap/>
        <w:overflowPunct/>
        <w:topLinePunct w:val="0"/>
        <w:autoSpaceDE/>
        <w:autoSpaceDN/>
        <w:bidi w:val="0"/>
        <w:snapToGrid w:val="0"/>
        <w:spacing w:line="58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注：</w:t>
      </w:r>
    </w:p>
    <w:p w14:paraId="07E2E7E7">
      <w:pPr>
        <w:pageBreakBefore w:val="0"/>
        <w:tabs>
          <w:tab w:val="left" w:pos="6300"/>
        </w:tabs>
        <w:kinsoku/>
        <w:wordWrap/>
        <w:overflowPunct/>
        <w:topLinePunct w:val="0"/>
        <w:autoSpaceDE/>
        <w:autoSpaceDN/>
        <w:bidi w:val="0"/>
        <w:snapToGrid w:val="0"/>
        <w:spacing w:line="58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1.本表即为对本项目“第二篇  项目服务</w:t>
      </w:r>
      <w:r>
        <w:rPr>
          <w:rFonts w:hint="eastAsia" w:ascii="方正仿宋_GBK" w:hAnsi="方正仿宋_GBK" w:eastAsia="方正仿宋_GBK" w:cs="方正仿宋_GBK"/>
          <w:color w:val="auto"/>
          <w:sz w:val="24"/>
          <w:szCs w:val="24"/>
          <w:lang w:val="en-US" w:eastAsia="zh-CN"/>
        </w:rPr>
        <w:t>要</w:t>
      </w:r>
      <w:r>
        <w:rPr>
          <w:rFonts w:hint="eastAsia" w:ascii="方正仿宋_GBK" w:hAnsi="方正仿宋_GBK" w:eastAsia="方正仿宋_GBK" w:cs="方正仿宋_GBK"/>
          <w:color w:val="auto"/>
          <w:sz w:val="24"/>
          <w:szCs w:val="24"/>
        </w:rPr>
        <w:t>求”中所列条款进行比较和响应；</w:t>
      </w:r>
    </w:p>
    <w:p w14:paraId="5F6AD2D4">
      <w:pPr>
        <w:pageBreakBefore w:val="0"/>
        <w:kinsoku/>
        <w:wordWrap/>
        <w:overflowPunct/>
        <w:topLinePunct w:val="0"/>
        <w:autoSpaceDE/>
        <w:autoSpaceDN/>
        <w:bidi w:val="0"/>
        <w:snapToGrid w:val="0"/>
        <w:spacing w:line="580" w:lineRule="exact"/>
        <w:ind w:firstLine="48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24"/>
          <w:szCs w:val="24"/>
        </w:rPr>
        <w:t>2.本表可扩展。</w:t>
      </w:r>
    </w:p>
    <w:p w14:paraId="2C20448E">
      <w:pPr>
        <w:pageBreakBefore w:val="0"/>
        <w:tabs>
          <w:tab w:val="left" w:pos="6300"/>
        </w:tabs>
        <w:kinsoku/>
        <w:wordWrap/>
        <w:overflowPunct/>
        <w:topLinePunct w:val="0"/>
        <w:autoSpaceDE/>
        <w:autoSpaceDN/>
        <w:bidi w:val="0"/>
        <w:snapToGrid w:val="0"/>
        <w:spacing w:line="580" w:lineRule="exact"/>
        <w:ind w:firstLine="640" w:firstLineChars="200"/>
        <w:textAlignment w:val="auto"/>
        <w:outlineLvl w:val="1"/>
        <w:rPr>
          <w:rFonts w:hint="eastAsia" w:ascii="方正仿宋_GBK" w:hAnsi="方正仿宋_GBK" w:eastAsia="方正仿宋_GBK" w:cs="方正仿宋_GBK"/>
          <w:color w:val="auto"/>
          <w:sz w:val="32"/>
          <w:szCs w:val="32"/>
        </w:rPr>
      </w:pPr>
      <w:bookmarkStart w:id="322" w:name="_Toc8528"/>
      <w:r>
        <w:rPr>
          <w:rFonts w:hint="eastAsia" w:ascii="方正楷体_GBK" w:hAnsi="方正楷体_GBK" w:eastAsia="方正楷体_GBK" w:cs="方正楷体_GBK"/>
          <w:color w:val="auto"/>
          <w:sz w:val="32"/>
          <w:szCs w:val="32"/>
        </w:rPr>
        <w:t>（二）其他资料（格式自定）</w:t>
      </w:r>
      <w:bookmarkEnd w:id="322"/>
    </w:p>
    <w:p w14:paraId="7BC90769">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5440A053">
      <w:pPr>
        <w:pStyle w:val="3"/>
        <w:pageBreakBefore w:val="0"/>
        <w:kinsoku/>
        <w:wordWrap/>
        <w:overflowPunct/>
        <w:topLinePunct w:val="0"/>
        <w:autoSpaceDE/>
        <w:autoSpaceDN/>
        <w:bidi w:val="0"/>
        <w:adjustRightInd w:val="0"/>
        <w:snapToGrid w:val="0"/>
        <w:spacing w:before="0" w:after="0" w:line="580" w:lineRule="exact"/>
        <w:jc w:val="both"/>
        <w:textAlignment w:val="auto"/>
        <w:outlineLvl w:val="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b w:val="0"/>
          <w:color w:val="auto"/>
          <w:sz w:val="32"/>
          <w:szCs w:val="32"/>
        </w:rPr>
        <w:br w:type="page"/>
      </w:r>
      <w:bookmarkStart w:id="323" w:name="_Toc9936"/>
      <w:bookmarkStart w:id="324" w:name="_Toc313888362"/>
      <w:bookmarkStart w:id="325" w:name="_Toc20385"/>
      <w:bookmarkStart w:id="326" w:name="_Toc9093"/>
      <w:bookmarkStart w:id="327" w:name="_Toc28240"/>
      <w:bookmarkStart w:id="328" w:name="_Toc19297"/>
      <w:bookmarkStart w:id="329" w:name="_Toc23697"/>
      <w:bookmarkStart w:id="330" w:name="_Toc520"/>
      <w:bookmarkStart w:id="331" w:name="_Toc29761"/>
      <w:bookmarkStart w:id="332" w:name="_Toc22505"/>
      <w:bookmarkStart w:id="333" w:name="_Toc28099"/>
      <w:bookmarkStart w:id="334" w:name="_Toc21216"/>
      <w:bookmarkStart w:id="335" w:name="_Toc10286"/>
      <w:bookmarkStart w:id="336" w:name="_Toc573"/>
      <w:bookmarkStart w:id="337" w:name="_Toc342913421"/>
      <w:bookmarkStart w:id="338" w:name="_Toc21538"/>
      <w:bookmarkStart w:id="339" w:name="_Toc29841"/>
      <w:bookmarkStart w:id="340" w:name="_Toc76462352"/>
      <w:bookmarkStart w:id="341" w:name="_Toc6238"/>
      <w:bookmarkStart w:id="342" w:name="_Toc2576"/>
      <w:bookmarkStart w:id="343" w:name="_Toc313008358"/>
      <w:bookmarkStart w:id="344" w:name="_Toc2886"/>
      <w:bookmarkStart w:id="345" w:name="_Toc26398"/>
      <w:bookmarkStart w:id="346" w:name="_Toc26647"/>
      <w:bookmarkStart w:id="347" w:name="_Toc19317"/>
      <w:bookmarkStart w:id="348" w:name="_Toc30230"/>
      <w:r>
        <w:rPr>
          <w:rFonts w:hint="eastAsia" w:ascii="方正黑体_GBK" w:hAnsi="方正黑体_GBK" w:eastAsia="方正黑体_GBK" w:cs="方正黑体_GBK"/>
          <w:b w:val="0"/>
          <w:bCs/>
          <w:color w:val="auto"/>
          <w:sz w:val="32"/>
          <w:szCs w:val="32"/>
        </w:rPr>
        <w:t>三、商务部分</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14:paraId="2CAA6932">
      <w:pPr>
        <w:pageBreakBefore w:val="0"/>
        <w:kinsoku/>
        <w:wordWrap/>
        <w:overflowPunct/>
        <w:topLinePunct w:val="0"/>
        <w:autoSpaceDE/>
        <w:autoSpaceDN/>
        <w:bidi w:val="0"/>
        <w:snapToGrid w:val="0"/>
        <w:spacing w:line="580" w:lineRule="exact"/>
        <w:ind w:firstLine="640" w:firstLineChars="200"/>
        <w:textAlignment w:val="auto"/>
        <w:outlineLvl w:val="1"/>
        <w:rPr>
          <w:rFonts w:hint="eastAsia" w:ascii="方正楷体_GBK" w:hAnsi="方正楷体_GBK" w:eastAsia="方正楷体_GBK" w:cs="方正楷体_GBK"/>
          <w:color w:val="auto"/>
          <w:sz w:val="32"/>
          <w:szCs w:val="32"/>
        </w:rPr>
      </w:pPr>
      <w:bookmarkStart w:id="349" w:name="_Toc18550"/>
      <w:r>
        <w:rPr>
          <w:rFonts w:hint="eastAsia" w:ascii="方正楷体_GBK" w:hAnsi="方正楷体_GBK" w:eastAsia="方正楷体_GBK" w:cs="方正楷体_GBK"/>
          <w:color w:val="auto"/>
          <w:sz w:val="32"/>
          <w:szCs w:val="32"/>
        </w:rPr>
        <w:t>（一）商务响应偏离表</w:t>
      </w:r>
      <w:bookmarkEnd w:id="349"/>
    </w:p>
    <w:p w14:paraId="67B67033">
      <w:pPr>
        <w:pageBreakBefore w:val="0"/>
        <w:kinsoku/>
        <w:wordWrap/>
        <w:overflowPunct/>
        <w:topLinePunct w:val="0"/>
        <w:autoSpaceDE/>
        <w:autoSpaceDN/>
        <w:bidi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项目号：                                </w:t>
      </w:r>
    </w:p>
    <w:p w14:paraId="4B3D1D3C">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遴选</w:t>
      </w:r>
      <w:r>
        <w:rPr>
          <w:rFonts w:hint="eastAsia" w:ascii="方正仿宋_GBK" w:hAnsi="方正仿宋_GBK" w:eastAsia="方正仿宋_GBK" w:cs="方正仿宋_GBK"/>
          <w:color w:val="auto"/>
          <w:sz w:val="32"/>
          <w:szCs w:val="32"/>
        </w:rPr>
        <w:t xml:space="preserve">项目名称： </w:t>
      </w:r>
    </w:p>
    <w:tbl>
      <w:tblPr>
        <w:tblStyle w:val="5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1553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510" w:type="dxa"/>
            <w:noWrap w:val="0"/>
            <w:vAlign w:val="center"/>
          </w:tcPr>
          <w:p w14:paraId="77B019D9">
            <w:pPr>
              <w:pageBreakBefore w:val="0"/>
              <w:kinsoku/>
              <w:wordWrap/>
              <w:overflowPunct/>
              <w:topLinePunct w:val="0"/>
              <w:autoSpaceDE/>
              <w:autoSpaceDN/>
              <w:bidi w:val="0"/>
              <w:snapToGrid w:val="0"/>
              <w:spacing w:line="580" w:lineRule="exact"/>
              <w:ind w:firstLine="46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序号</w:t>
            </w:r>
          </w:p>
        </w:tc>
        <w:tc>
          <w:tcPr>
            <w:tcW w:w="3179" w:type="dxa"/>
            <w:noWrap w:val="0"/>
            <w:vAlign w:val="center"/>
          </w:tcPr>
          <w:p w14:paraId="4EF58852">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项目商务</w:t>
            </w:r>
            <w:r>
              <w:rPr>
                <w:rFonts w:hint="eastAsia" w:ascii="方正仿宋_GBK" w:hAnsi="方正仿宋_GBK" w:eastAsia="方正仿宋_GBK" w:cs="方正仿宋_GBK"/>
                <w:color w:val="auto"/>
                <w:sz w:val="32"/>
                <w:szCs w:val="32"/>
                <w:lang w:val="en-US" w:eastAsia="zh-CN"/>
              </w:rPr>
              <w:t>要</w:t>
            </w:r>
            <w:r>
              <w:rPr>
                <w:rFonts w:hint="eastAsia" w:ascii="方正仿宋_GBK" w:hAnsi="方正仿宋_GBK" w:eastAsia="方正仿宋_GBK" w:cs="方正仿宋_GBK"/>
                <w:color w:val="auto"/>
                <w:sz w:val="32"/>
                <w:szCs w:val="32"/>
              </w:rPr>
              <w:t>求</w:t>
            </w:r>
          </w:p>
        </w:tc>
        <w:tc>
          <w:tcPr>
            <w:tcW w:w="2434" w:type="dxa"/>
            <w:noWrap w:val="0"/>
            <w:vAlign w:val="center"/>
          </w:tcPr>
          <w:p w14:paraId="28EBE18A">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响应情况</w:t>
            </w:r>
          </w:p>
        </w:tc>
        <w:tc>
          <w:tcPr>
            <w:tcW w:w="2355" w:type="dxa"/>
            <w:noWrap w:val="0"/>
            <w:vAlign w:val="center"/>
          </w:tcPr>
          <w:p w14:paraId="1411B05B">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偏离说明</w:t>
            </w:r>
          </w:p>
        </w:tc>
      </w:tr>
      <w:tr w14:paraId="377C0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7FE66C64">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3179" w:type="dxa"/>
            <w:noWrap w:val="0"/>
            <w:vAlign w:val="center"/>
          </w:tcPr>
          <w:p w14:paraId="7D547421">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434" w:type="dxa"/>
            <w:noWrap w:val="0"/>
            <w:vAlign w:val="center"/>
          </w:tcPr>
          <w:p w14:paraId="404EF597">
            <w:pPr>
              <w:pageBreakBefore w:val="0"/>
              <w:tabs>
                <w:tab w:val="left" w:pos="6300"/>
              </w:tabs>
              <w:kinsoku/>
              <w:wordWrap/>
              <w:overflowPunct/>
              <w:topLinePunct w:val="0"/>
              <w:autoSpaceDE/>
              <w:autoSpaceDN/>
              <w:bidi w:val="0"/>
              <w:snapToGrid w:val="0"/>
              <w:spacing w:line="580" w:lineRule="exact"/>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提醒：请注明具体内容以及响应文件中具体内容的位置（页码）</w:t>
            </w:r>
          </w:p>
        </w:tc>
        <w:tc>
          <w:tcPr>
            <w:tcW w:w="2355" w:type="dxa"/>
            <w:noWrap w:val="0"/>
            <w:vAlign w:val="center"/>
          </w:tcPr>
          <w:p w14:paraId="09B8F012">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r>
      <w:tr w14:paraId="1B10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4F1FFD87">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3179" w:type="dxa"/>
            <w:noWrap w:val="0"/>
            <w:vAlign w:val="center"/>
          </w:tcPr>
          <w:p w14:paraId="5A9920F9">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434" w:type="dxa"/>
            <w:noWrap w:val="0"/>
            <w:vAlign w:val="center"/>
          </w:tcPr>
          <w:p w14:paraId="7F0CB712">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355" w:type="dxa"/>
            <w:noWrap w:val="0"/>
            <w:vAlign w:val="center"/>
          </w:tcPr>
          <w:p w14:paraId="64D7410D">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r>
      <w:tr w14:paraId="54BC9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04D1387E">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3179" w:type="dxa"/>
            <w:noWrap w:val="0"/>
            <w:vAlign w:val="center"/>
          </w:tcPr>
          <w:p w14:paraId="0A3B4007">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434" w:type="dxa"/>
            <w:noWrap w:val="0"/>
            <w:vAlign w:val="center"/>
          </w:tcPr>
          <w:p w14:paraId="50575DDD">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355" w:type="dxa"/>
            <w:noWrap w:val="0"/>
            <w:vAlign w:val="center"/>
          </w:tcPr>
          <w:p w14:paraId="63ECD5AE">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r>
      <w:tr w14:paraId="50EE4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1F2E3294">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3179" w:type="dxa"/>
            <w:noWrap w:val="0"/>
            <w:vAlign w:val="center"/>
          </w:tcPr>
          <w:p w14:paraId="58296E48">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434" w:type="dxa"/>
            <w:noWrap w:val="0"/>
            <w:vAlign w:val="center"/>
          </w:tcPr>
          <w:p w14:paraId="5F92D361">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355" w:type="dxa"/>
            <w:noWrap w:val="0"/>
            <w:vAlign w:val="center"/>
          </w:tcPr>
          <w:p w14:paraId="680B80D8">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r>
      <w:tr w14:paraId="31C48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13034835">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3179" w:type="dxa"/>
            <w:noWrap w:val="0"/>
            <w:vAlign w:val="center"/>
          </w:tcPr>
          <w:p w14:paraId="38F4A930">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434" w:type="dxa"/>
            <w:noWrap w:val="0"/>
            <w:vAlign w:val="center"/>
          </w:tcPr>
          <w:p w14:paraId="55AB4B76">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355" w:type="dxa"/>
            <w:noWrap w:val="0"/>
            <w:vAlign w:val="center"/>
          </w:tcPr>
          <w:p w14:paraId="1C258AFF">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r>
      <w:tr w14:paraId="791CE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7F9C33AC">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3179" w:type="dxa"/>
            <w:noWrap w:val="0"/>
            <w:vAlign w:val="center"/>
          </w:tcPr>
          <w:p w14:paraId="5F698AD3">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434" w:type="dxa"/>
            <w:noWrap w:val="0"/>
            <w:vAlign w:val="center"/>
          </w:tcPr>
          <w:p w14:paraId="5349B2AE">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355" w:type="dxa"/>
            <w:noWrap w:val="0"/>
            <w:vAlign w:val="center"/>
          </w:tcPr>
          <w:p w14:paraId="0FCB3EDE">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r>
    </w:tbl>
    <w:p w14:paraId="1EE5119D">
      <w:pPr>
        <w:pageBreakBefore w:val="0"/>
        <w:kinsoku/>
        <w:wordWrap/>
        <w:overflowPunct/>
        <w:topLinePunct w:val="0"/>
        <w:autoSpaceDE/>
        <w:autoSpaceDN/>
        <w:bidi w:val="0"/>
        <w:snapToGrid w:val="0"/>
        <w:spacing w:line="580" w:lineRule="exact"/>
        <w:ind w:firstLine="465"/>
        <w:textAlignment w:val="auto"/>
        <w:rPr>
          <w:rFonts w:hint="eastAsia" w:ascii="方正仿宋_GBK" w:hAnsi="方正仿宋_GBK" w:eastAsia="方正仿宋_GBK" w:cs="方正仿宋_GBK"/>
          <w:color w:val="auto"/>
          <w:sz w:val="32"/>
          <w:szCs w:val="32"/>
        </w:rPr>
      </w:pPr>
    </w:p>
    <w:p w14:paraId="2892ED68">
      <w:pPr>
        <w:pageBreakBefore w:val="0"/>
        <w:kinsoku/>
        <w:wordWrap/>
        <w:overflowPunct/>
        <w:topLinePunct w:val="0"/>
        <w:autoSpaceDE/>
        <w:autoSpaceDN/>
        <w:bidi w:val="0"/>
        <w:spacing w:line="58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供应商：                          法定代表人（或其授权代表）或自然人：</w:t>
      </w:r>
    </w:p>
    <w:p w14:paraId="6EA83B69">
      <w:pPr>
        <w:pageBreakBefore w:val="0"/>
        <w:kinsoku/>
        <w:wordWrap/>
        <w:overflowPunct/>
        <w:topLinePunct w:val="0"/>
        <w:autoSpaceDE/>
        <w:autoSpaceDN/>
        <w:bidi w:val="0"/>
        <w:spacing w:line="580" w:lineRule="exact"/>
        <w:ind w:firstLine="0" w:firstLineChars="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（供应商公章）                  （签署或盖章）</w:t>
      </w:r>
    </w:p>
    <w:p w14:paraId="50C2FB37">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年     月     日</w:t>
      </w:r>
    </w:p>
    <w:p w14:paraId="6FCDCE7D">
      <w:pPr>
        <w:pageBreakBefore w:val="0"/>
        <w:tabs>
          <w:tab w:val="left" w:pos="6300"/>
        </w:tabs>
        <w:kinsoku/>
        <w:wordWrap/>
        <w:overflowPunct/>
        <w:topLinePunct w:val="0"/>
        <w:autoSpaceDE/>
        <w:autoSpaceDN/>
        <w:bidi w:val="0"/>
        <w:snapToGrid w:val="0"/>
        <w:spacing w:line="580" w:lineRule="exact"/>
        <w:ind w:firstLine="0" w:firstLineChars="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注：1.本表即为对本项目“第三篇  项目商务</w:t>
      </w:r>
      <w:r>
        <w:rPr>
          <w:rFonts w:hint="eastAsia" w:ascii="方正仿宋_GBK" w:hAnsi="方正仿宋_GBK" w:eastAsia="方正仿宋_GBK" w:cs="方正仿宋_GBK"/>
          <w:color w:val="auto"/>
          <w:sz w:val="32"/>
          <w:szCs w:val="32"/>
          <w:lang w:val="en-US" w:eastAsia="zh-CN"/>
        </w:rPr>
        <w:t>要</w:t>
      </w:r>
      <w:r>
        <w:rPr>
          <w:rFonts w:hint="eastAsia" w:ascii="方正仿宋_GBK" w:hAnsi="方正仿宋_GBK" w:eastAsia="方正仿宋_GBK" w:cs="方正仿宋_GBK"/>
          <w:color w:val="auto"/>
          <w:sz w:val="32"/>
          <w:szCs w:val="32"/>
        </w:rPr>
        <w:t>求”中所列条款进行比较和响应；</w:t>
      </w:r>
    </w:p>
    <w:p w14:paraId="7C05543C">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2.本表可扩展。</w:t>
      </w:r>
    </w:p>
    <w:p w14:paraId="041B8E72">
      <w:pPr>
        <w:pageBreakBefore w:val="0"/>
        <w:kinsoku/>
        <w:wordWrap/>
        <w:overflowPunct/>
        <w:topLinePunct w:val="0"/>
        <w:autoSpaceDE/>
        <w:autoSpaceDN/>
        <w:bidi w:val="0"/>
        <w:snapToGrid w:val="0"/>
        <w:spacing w:line="580" w:lineRule="exact"/>
        <w:ind w:firstLine="643" w:firstLineChars="200"/>
        <w:textAlignment w:val="auto"/>
        <w:rPr>
          <w:rFonts w:hint="eastAsia" w:ascii="方正仿宋_GBK" w:hAnsi="方正仿宋_GBK" w:eastAsia="方正仿宋_GBK" w:cs="方正仿宋_GBK"/>
          <w:b/>
          <w:color w:val="auto"/>
          <w:sz w:val="32"/>
          <w:szCs w:val="32"/>
        </w:rPr>
        <w:sectPr>
          <w:pgSz w:w="11907" w:h="16840"/>
          <w:pgMar w:top="1134" w:right="1191" w:bottom="1134" w:left="1304" w:header="851" w:footer="992" w:gutter="0"/>
          <w:pgNumType w:fmt="numberInDash"/>
          <w:cols w:space="720" w:num="1"/>
          <w:docGrid w:linePitch="380" w:charSpace="-5735"/>
        </w:sectPr>
      </w:pPr>
    </w:p>
    <w:p w14:paraId="1BBD1AB4">
      <w:pPr>
        <w:pageBreakBefore w:val="0"/>
        <w:kinsoku/>
        <w:wordWrap/>
        <w:overflowPunct/>
        <w:topLinePunct w:val="0"/>
        <w:autoSpaceDE/>
        <w:autoSpaceDN/>
        <w:bidi w:val="0"/>
        <w:snapToGrid w:val="0"/>
        <w:spacing w:line="580" w:lineRule="exact"/>
        <w:ind w:firstLine="640" w:firstLineChars="200"/>
        <w:textAlignment w:val="auto"/>
        <w:outlineLvl w:val="1"/>
        <w:rPr>
          <w:rFonts w:hint="eastAsia" w:ascii="方正楷体_GBK" w:hAnsi="方正楷体_GBK" w:eastAsia="方正楷体_GBK" w:cs="方正楷体_GBK"/>
          <w:color w:val="auto"/>
          <w:sz w:val="32"/>
          <w:szCs w:val="32"/>
        </w:rPr>
      </w:pPr>
      <w:bookmarkStart w:id="350" w:name="_Toc9823"/>
      <w:bookmarkStart w:id="351" w:name="_Toc283382459"/>
      <w:r>
        <w:rPr>
          <w:rFonts w:hint="eastAsia" w:ascii="方正楷体_GBK" w:hAnsi="方正楷体_GBK" w:eastAsia="方正楷体_GBK" w:cs="方正楷体_GBK"/>
          <w:color w:val="auto"/>
          <w:sz w:val="32"/>
          <w:szCs w:val="32"/>
        </w:rPr>
        <w:t>（二）其它优惠承诺（格式自定）</w:t>
      </w:r>
      <w:bookmarkEnd w:id="350"/>
    </w:p>
    <w:p w14:paraId="2F29F335">
      <w:pPr>
        <w:pStyle w:val="3"/>
        <w:pageBreakBefore w:val="0"/>
        <w:kinsoku/>
        <w:wordWrap/>
        <w:overflowPunct/>
        <w:topLinePunct w:val="0"/>
        <w:autoSpaceDE/>
        <w:autoSpaceDN/>
        <w:bidi w:val="0"/>
        <w:adjustRightInd w:val="0"/>
        <w:snapToGrid w:val="0"/>
        <w:spacing w:before="0" w:after="0" w:line="580" w:lineRule="exact"/>
        <w:jc w:val="both"/>
        <w:textAlignment w:val="auto"/>
        <w:outlineLvl w:val="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br w:type="page"/>
      </w:r>
      <w:bookmarkEnd w:id="351"/>
      <w:bookmarkStart w:id="352" w:name="_Toc6268"/>
      <w:bookmarkStart w:id="353" w:name="_Toc25332"/>
      <w:bookmarkStart w:id="354" w:name="_Toc6829"/>
      <w:bookmarkStart w:id="355" w:name="_Toc21368"/>
      <w:bookmarkStart w:id="356" w:name="_Toc76462353"/>
      <w:bookmarkStart w:id="357" w:name="_Toc10729"/>
      <w:bookmarkStart w:id="358" w:name="_Toc19652"/>
      <w:bookmarkStart w:id="359" w:name="_Toc23426"/>
      <w:bookmarkStart w:id="360" w:name="_Toc313008359"/>
      <w:bookmarkStart w:id="361" w:name="_Toc4499"/>
      <w:bookmarkStart w:id="362" w:name="_Toc22916"/>
      <w:bookmarkStart w:id="363" w:name="_Toc313888363"/>
      <w:bookmarkStart w:id="364" w:name="_Toc20384"/>
      <w:bookmarkStart w:id="365" w:name="_Toc12319"/>
      <w:bookmarkStart w:id="366" w:name="_Toc190"/>
      <w:bookmarkStart w:id="367" w:name="_Toc342913422"/>
      <w:bookmarkStart w:id="368" w:name="_Toc9472"/>
      <w:bookmarkStart w:id="369" w:name="_Toc1742"/>
      <w:bookmarkStart w:id="370" w:name="_Toc10514"/>
      <w:bookmarkStart w:id="371" w:name="_Toc17461"/>
      <w:bookmarkStart w:id="372" w:name="_Toc8004"/>
      <w:bookmarkStart w:id="373" w:name="_Toc28090"/>
      <w:bookmarkStart w:id="374" w:name="_Toc30756"/>
      <w:bookmarkStart w:id="375" w:name="_Toc12968"/>
      <w:bookmarkStart w:id="376" w:name="_Toc28720"/>
      <w:bookmarkStart w:id="377" w:name="_Toc28740"/>
      <w:r>
        <w:rPr>
          <w:rFonts w:hint="eastAsia" w:ascii="方正黑体_GBK" w:hAnsi="方正黑体_GBK" w:eastAsia="方正黑体_GBK" w:cs="方正黑体_GBK"/>
          <w:b w:val="0"/>
          <w:bCs/>
          <w:color w:val="auto"/>
          <w:sz w:val="32"/>
          <w:szCs w:val="32"/>
        </w:rPr>
        <w:t>四、资格条件</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Fonts w:hint="eastAsia" w:ascii="方正黑体_GBK" w:hAnsi="方正黑体_GBK" w:eastAsia="方正黑体_GBK" w:cs="方正黑体_GBK"/>
          <w:b w:val="0"/>
          <w:bCs/>
          <w:color w:val="auto"/>
          <w:sz w:val="32"/>
          <w:szCs w:val="32"/>
        </w:rPr>
        <w:t>及其他</w:t>
      </w:r>
      <w:bookmarkEnd w:id="371"/>
      <w:bookmarkEnd w:id="372"/>
      <w:bookmarkEnd w:id="373"/>
      <w:bookmarkEnd w:id="374"/>
      <w:bookmarkEnd w:id="375"/>
      <w:bookmarkEnd w:id="376"/>
      <w:bookmarkEnd w:id="377"/>
    </w:p>
    <w:p w14:paraId="45FC7983">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（一）法人营业执照（副本）或事业单位法人证书（副本）或个体工商户营业执照或有效的自然人身份证明或社会团体法人登记证书复印件</w:t>
      </w:r>
    </w:p>
    <w:p w14:paraId="2DD98579">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45F78881">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65E66D15">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66C13254">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2F630F83">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6F474422">
      <w:pPr>
        <w:pageBreakBefore w:val="0"/>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br w:type="page"/>
      </w:r>
      <w:r>
        <w:rPr>
          <w:rFonts w:hint="eastAsia" w:ascii="方正楷体_GBK" w:hAnsi="方正楷体_GBK" w:eastAsia="方正楷体_GBK" w:cs="方正楷体_GBK"/>
          <w:color w:val="auto"/>
          <w:sz w:val="32"/>
          <w:szCs w:val="32"/>
        </w:rPr>
        <w:t>（二）法定代表人身份证明书（格式）</w:t>
      </w:r>
    </w:p>
    <w:p w14:paraId="065F87FC">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78A751B5">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遴选</w:t>
      </w:r>
      <w:r>
        <w:rPr>
          <w:rFonts w:hint="eastAsia" w:ascii="方正仿宋_GBK" w:hAnsi="方正仿宋_GBK" w:eastAsia="方正仿宋_GBK" w:cs="方正仿宋_GBK"/>
          <w:color w:val="auto"/>
          <w:sz w:val="32"/>
          <w:szCs w:val="32"/>
        </w:rPr>
        <w:t>项目名称：</w:t>
      </w:r>
      <w:r>
        <w:rPr>
          <w:rFonts w:hint="eastAsia" w:ascii="方正仿宋_GBK" w:hAnsi="方正仿宋_GBK" w:eastAsia="方正仿宋_GBK" w:cs="方正仿宋_GBK"/>
          <w:color w:val="auto"/>
          <w:sz w:val="32"/>
          <w:szCs w:val="32"/>
          <w:u w:val="single"/>
        </w:rPr>
        <w:t xml:space="preserve">                                                </w:t>
      </w:r>
    </w:p>
    <w:p w14:paraId="5DB07D0C">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28C247F4">
      <w:pPr>
        <w:pageBreakBefore w:val="0"/>
        <w:tabs>
          <w:tab w:val="left" w:pos="6300"/>
        </w:tabs>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致：</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val="en-US" w:eastAsia="zh-CN"/>
        </w:rPr>
        <w:t>采购单位</w:t>
      </w:r>
      <w:r>
        <w:rPr>
          <w:rFonts w:hint="eastAsia" w:ascii="方正仿宋_GBK" w:hAnsi="方正仿宋_GBK" w:eastAsia="方正仿宋_GBK" w:cs="方正仿宋_GBK"/>
          <w:color w:val="auto"/>
          <w:sz w:val="32"/>
          <w:szCs w:val="32"/>
        </w:rPr>
        <w:t>名称）：</w:t>
      </w:r>
    </w:p>
    <w:p w14:paraId="50FAC1EB">
      <w:pPr>
        <w:pageBreakBefore w:val="0"/>
        <w:tabs>
          <w:tab w:val="left" w:pos="6300"/>
        </w:tabs>
        <w:kinsoku/>
        <w:wordWrap/>
        <w:overflowPunct/>
        <w:topLinePunct w:val="0"/>
        <w:autoSpaceDE/>
        <w:autoSpaceDN/>
        <w:bidi w:val="0"/>
        <w:snapToGrid w:val="0"/>
        <w:spacing w:line="580" w:lineRule="exact"/>
        <w:ind w:firstLine="570"/>
        <w:textAlignment w:val="auto"/>
        <w:rPr>
          <w:rFonts w:hint="default"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（法定代表人姓名）在</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（供应商名称）任</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u w:val="single"/>
          <w:lang w:val="en-US" w:eastAsia="zh-CN"/>
        </w:rPr>
        <w:t xml:space="preserve">    </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（职务名称）职务，是</w:t>
      </w:r>
      <w:r>
        <w:rPr>
          <w:rFonts w:hint="eastAsia" w:ascii="方正仿宋_GBK" w:hAnsi="方正仿宋_GBK" w:eastAsia="方正仿宋_GBK" w:cs="方正仿宋_GBK"/>
          <w:color w:val="auto"/>
          <w:sz w:val="32"/>
          <w:szCs w:val="32"/>
          <w:u w:val="single"/>
          <w:lang w:val="en-US" w:eastAsia="zh-CN"/>
        </w:rPr>
        <w:t xml:space="preserve">          </w:t>
      </w:r>
      <w:r>
        <w:rPr>
          <w:rFonts w:hint="eastAsia" w:ascii="方正仿宋_GBK" w:hAnsi="方正仿宋_GBK" w:eastAsia="方正仿宋_GBK" w:cs="方正仿宋_GBK"/>
          <w:color w:val="auto"/>
          <w:sz w:val="32"/>
          <w:szCs w:val="32"/>
        </w:rPr>
        <w:t>（供应商名称）的法定代表人。</w:t>
      </w:r>
      <w:r>
        <w:rPr>
          <w:rFonts w:hint="eastAsia" w:ascii="方正仿宋_GBK" w:hAnsi="方正仿宋_GBK" w:eastAsia="方正仿宋_GBK" w:cs="方正仿宋_GBK"/>
          <w:color w:val="auto"/>
          <w:sz w:val="32"/>
          <w:szCs w:val="32"/>
          <w:lang w:val="en-US" w:eastAsia="zh-CN"/>
        </w:rPr>
        <w:t xml:space="preserve">  </w:t>
      </w:r>
    </w:p>
    <w:p w14:paraId="622F5776">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2FFD230F">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特此证明。</w:t>
      </w:r>
    </w:p>
    <w:p w14:paraId="0B483A42">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0EB365CC">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085BD688">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6298C45F">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（供应商公章）</w:t>
      </w:r>
    </w:p>
    <w:p w14:paraId="7372BC80">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26B5E7F7">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年   月   日</w:t>
      </w:r>
    </w:p>
    <w:p w14:paraId="0078007E">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法定代表人电话：XXXXXXX      电子邮箱：XXXXXX@XXXXX（若授权他人办理并签署响应文件的可不填写）</w:t>
      </w:r>
    </w:p>
    <w:p w14:paraId="05D2C5DD">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（附：法定代表人身份证正反面复印件）</w:t>
      </w:r>
    </w:p>
    <w:p w14:paraId="758A28E2">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267B50DB">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5AD8297C">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001BC9A0">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61AAE318">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59554D51">
      <w:pPr>
        <w:pageBreakBefore w:val="0"/>
        <w:kinsoku/>
        <w:wordWrap/>
        <w:overflowPunct/>
        <w:topLinePunct w:val="0"/>
        <w:autoSpaceDE/>
        <w:autoSpaceDN/>
        <w:bidi w:val="0"/>
        <w:snapToGrid w:val="0"/>
        <w:spacing w:line="580" w:lineRule="exact"/>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（三）法定代表人授权委托书（格式）</w:t>
      </w:r>
    </w:p>
    <w:p w14:paraId="7BF113FA">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w:t>
      </w:r>
    </w:p>
    <w:p w14:paraId="629A61CE">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遴选</w:t>
      </w:r>
      <w:r>
        <w:rPr>
          <w:rFonts w:hint="eastAsia" w:ascii="方正仿宋_GBK" w:hAnsi="方正仿宋_GBK" w:eastAsia="方正仿宋_GBK" w:cs="方正仿宋_GBK"/>
          <w:color w:val="auto"/>
          <w:sz w:val="32"/>
          <w:szCs w:val="32"/>
        </w:rPr>
        <w:t>项目名称：</w:t>
      </w:r>
      <w:r>
        <w:rPr>
          <w:rFonts w:hint="eastAsia" w:ascii="方正仿宋_GBK" w:hAnsi="方正仿宋_GBK" w:eastAsia="方正仿宋_GBK" w:cs="方正仿宋_GBK"/>
          <w:color w:val="auto"/>
          <w:sz w:val="32"/>
          <w:szCs w:val="32"/>
          <w:u w:val="single"/>
        </w:rPr>
        <w:t xml:space="preserve">                                                </w:t>
      </w:r>
    </w:p>
    <w:p w14:paraId="221BBE21">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0FF0ECCC">
      <w:pPr>
        <w:pageBreakBefore w:val="0"/>
        <w:tabs>
          <w:tab w:val="left" w:pos="6300"/>
        </w:tabs>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致：</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（采购</w:t>
      </w:r>
      <w:r>
        <w:rPr>
          <w:rFonts w:hint="eastAsia" w:ascii="方正仿宋_GBK" w:hAnsi="方正仿宋_GBK" w:eastAsia="方正仿宋_GBK" w:cs="方正仿宋_GBK"/>
          <w:color w:val="auto"/>
          <w:sz w:val="32"/>
          <w:szCs w:val="32"/>
          <w:lang w:val="en-US" w:eastAsia="zh-CN"/>
        </w:rPr>
        <w:t>单位</w:t>
      </w:r>
      <w:r>
        <w:rPr>
          <w:rFonts w:hint="eastAsia" w:ascii="方正仿宋_GBK" w:hAnsi="方正仿宋_GBK" w:eastAsia="方正仿宋_GBK" w:cs="方正仿宋_GBK"/>
          <w:color w:val="auto"/>
          <w:sz w:val="32"/>
          <w:szCs w:val="32"/>
        </w:rPr>
        <w:t>名称）：</w:t>
      </w:r>
    </w:p>
    <w:p w14:paraId="5C09FE20">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u w:val="single"/>
          <w:lang w:val="en-US" w:eastAsia="zh-CN"/>
        </w:rPr>
        <w:t xml:space="preserve">  </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（供应商法定代表人名称）是</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（供应商名称）的法定代表人，特授权</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（被授权人姓名及身份证代码）代表我单位全权办理上述项目的</w:t>
      </w:r>
      <w:r>
        <w:rPr>
          <w:rFonts w:hint="eastAsia" w:ascii="方正仿宋_GBK" w:hAnsi="方正仿宋_GBK" w:eastAsia="方正仿宋_GBK" w:cs="方正仿宋_GBK"/>
          <w:color w:val="auto"/>
          <w:sz w:val="32"/>
          <w:szCs w:val="32"/>
          <w:lang w:eastAsia="zh-CN"/>
        </w:rPr>
        <w:t>遴选</w:t>
      </w:r>
      <w:r>
        <w:rPr>
          <w:rFonts w:hint="eastAsia" w:ascii="方正仿宋_GBK" w:hAnsi="方正仿宋_GBK" w:eastAsia="方正仿宋_GBK" w:cs="方正仿宋_GBK"/>
          <w:color w:val="auto"/>
          <w:sz w:val="32"/>
          <w:szCs w:val="32"/>
        </w:rPr>
        <w:t>、签约等具体工作，并签署全部有关文件、协议及合同。</w:t>
      </w:r>
    </w:p>
    <w:p w14:paraId="7861CD14">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我单位对被授权人的签署负全部责任。</w:t>
      </w:r>
    </w:p>
    <w:p w14:paraId="107D29B5">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在撤销授权的书面通知以前，本授权书一直有效。被授权人在授权书有效期内签署的所有文件不因授权的撤销而失效。</w:t>
      </w:r>
    </w:p>
    <w:p w14:paraId="5C1A8178">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3F11F081">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被授权人：                         供应商法定代表人：</w:t>
      </w:r>
    </w:p>
    <w:p w14:paraId="60F44AB9">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（签署或盖章）                       （签署或盖章）</w:t>
      </w:r>
    </w:p>
    <w:p w14:paraId="71C59E29">
      <w:pPr>
        <w:pageBreakBefore w:val="0"/>
        <w:tabs>
          <w:tab w:val="left" w:pos="6300"/>
        </w:tabs>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32"/>
          <w:szCs w:val="32"/>
        </w:rPr>
      </w:pPr>
    </w:p>
    <w:p w14:paraId="49117CFA">
      <w:pPr>
        <w:pageBreakBefore w:val="0"/>
        <w:tabs>
          <w:tab w:val="left" w:pos="6300"/>
        </w:tabs>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32"/>
          <w:szCs w:val="32"/>
        </w:rPr>
      </w:pPr>
    </w:p>
    <w:p w14:paraId="481317D3">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（附：被授权人身份证正反面复印件）       </w:t>
      </w:r>
    </w:p>
    <w:p w14:paraId="09759E34">
      <w:pPr>
        <w:pageBreakBefore w:val="0"/>
        <w:tabs>
          <w:tab w:val="left" w:pos="6300"/>
        </w:tabs>
        <w:kinsoku/>
        <w:wordWrap/>
        <w:overflowPunct/>
        <w:topLinePunct w:val="0"/>
        <w:autoSpaceDE/>
        <w:autoSpaceDN/>
        <w:bidi w:val="0"/>
        <w:snapToGrid w:val="0"/>
        <w:spacing w:line="580" w:lineRule="exact"/>
        <w:ind w:right="480" w:firstLine="570"/>
        <w:jc w:val="righ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（供应商公章）</w:t>
      </w:r>
    </w:p>
    <w:p w14:paraId="32DE1C2B">
      <w:pPr>
        <w:pageBreakBefore w:val="0"/>
        <w:tabs>
          <w:tab w:val="left" w:pos="6300"/>
        </w:tabs>
        <w:kinsoku/>
        <w:wordWrap/>
        <w:overflowPunct/>
        <w:topLinePunct w:val="0"/>
        <w:autoSpaceDE/>
        <w:autoSpaceDN/>
        <w:bidi w:val="0"/>
        <w:snapToGrid w:val="0"/>
        <w:spacing w:line="580" w:lineRule="exact"/>
        <w:ind w:right="480" w:firstLine="570"/>
        <w:jc w:val="righ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年   月   日</w:t>
      </w:r>
    </w:p>
    <w:p w14:paraId="30E5ACFB">
      <w:pPr>
        <w:pageBreakBefore w:val="0"/>
        <w:tabs>
          <w:tab w:val="left" w:pos="6300"/>
        </w:tabs>
        <w:kinsoku/>
        <w:wordWrap/>
        <w:overflowPunct/>
        <w:topLinePunct w:val="0"/>
        <w:autoSpaceDE/>
        <w:autoSpaceDN/>
        <w:bidi w:val="0"/>
        <w:snapToGrid w:val="0"/>
        <w:spacing w:line="580" w:lineRule="exact"/>
        <w:ind w:right="480" w:firstLine="57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被授权人电话：XXXXXXX     电子邮箱：XXXXXX@XXXXX（若法定代表人办理并签署响应文件的可不填写）</w:t>
      </w:r>
    </w:p>
    <w:p w14:paraId="080BABFF">
      <w:pPr>
        <w:pageBreakBefore w:val="0"/>
        <w:tabs>
          <w:tab w:val="left" w:pos="6300"/>
        </w:tabs>
        <w:kinsoku/>
        <w:wordWrap/>
        <w:overflowPunct/>
        <w:topLinePunct w:val="0"/>
        <w:autoSpaceDE/>
        <w:autoSpaceDN/>
        <w:bidi w:val="0"/>
        <w:snapToGrid w:val="0"/>
        <w:spacing w:line="580" w:lineRule="exact"/>
        <w:ind w:right="480" w:firstLine="57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注：若为法定代表人办理并签署响应文件的，不提供此文件。</w:t>
      </w:r>
    </w:p>
    <w:p w14:paraId="38F26A76">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br w:type="column"/>
      </w:r>
      <w:r>
        <w:rPr>
          <w:rFonts w:hint="eastAsia" w:ascii="方正楷体_GBK" w:hAnsi="方正楷体_GBK" w:eastAsia="方正楷体_GBK" w:cs="方正楷体_GBK"/>
          <w:color w:val="auto"/>
          <w:sz w:val="32"/>
          <w:szCs w:val="32"/>
        </w:rPr>
        <w:t>（四）基本资格条件承诺函</w:t>
      </w:r>
    </w:p>
    <w:p w14:paraId="14A72359">
      <w:pPr>
        <w:pageBreakBefore w:val="0"/>
        <w:tabs>
          <w:tab w:val="left" w:pos="6300"/>
        </w:tabs>
        <w:kinsoku/>
        <w:wordWrap/>
        <w:overflowPunct/>
        <w:topLinePunct w:val="0"/>
        <w:autoSpaceDE/>
        <w:autoSpaceDN/>
        <w:bidi w:val="0"/>
        <w:snapToGrid w:val="0"/>
        <w:spacing w:line="580" w:lineRule="exact"/>
        <w:ind w:firstLine="570"/>
        <w:jc w:val="center"/>
        <w:textAlignment w:val="auto"/>
        <w:rPr>
          <w:rFonts w:hint="eastAsia" w:ascii="方正仿宋_GBK" w:hAnsi="方正仿宋_GBK" w:eastAsia="方正仿宋_GBK" w:cs="方正仿宋_GBK"/>
          <w:b/>
          <w:bCs/>
          <w:color w:val="auto"/>
          <w:sz w:val="32"/>
          <w:szCs w:val="32"/>
        </w:rPr>
      </w:pPr>
      <w:r>
        <w:rPr>
          <w:rFonts w:hint="eastAsia" w:ascii="方正仿宋_GBK" w:hAnsi="方正仿宋_GBK" w:eastAsia="方正仿宋_GBK" w:cs="方正仿宋_GBK"/>
          <w:b/>
          <w:bCs/>
          <w:color w:val="auto"/>
          <w:sz w:val="32"/>
          <w:szCs w:val="32"/>
        </w:rPr>
        <w:t>基本资格条件承诺函</w:t>
      </w:r>
    </w:p>
    <w:p w14:paraId="10400D39">
      <w:pPr>
        <w:pageBreakBefore w:val="0"/>
        <w:tabs>
          <w:tab w:val="left" w:pos="6300"/>
        </w:tabs>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32"/>
          <w:szCs w:val="32"/>
        </w:rPr>
      </w:pPr>
    </w:p>
    <w:p w14:paraId="436D322E">
      <w:pPr>
        <w:pageBreakBefore w:val="0"/>
        <w:tabs>
          <w:tab w:val="left" w:pos="6300"/>
        </w:tabs>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致</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（采购</w:t>
      </w:r>
      <w:r>
        <w:rPr>
          <w:rFonts w:hint="eastAsia" w:ascii="方正仿宋_GBK" w:hAnsi="方正仿宋_GBK" w:eastAsia="方正仿宋_GBK" w:cs="方正仿宋_GBK"/>
          <w:color w:val="auto"/>
          <w:sz w:val="32"/>
          <w:szCs w:val="32"/>
          <w:lang w:val="en-US" w:eastAsia="zh-CN"/>
        </w:rPr>
        <w:t>单位</w:t>
      </w:r>
      <w:r>
        <w:rPr>
          <w:rFonts w:hint="eastAsia" w:ascii="方正仿宋_GBK" w:hAnsi="方正仿宋_GBK" w:eastAsia="方正仿宋_GBK" w:cs="方正仿宋_GBK"/>
          <w:color w:val="auto"/>
          <w:sz w:val="32"/>
          <w:szCs w:val="32"/>
        </w:rPr>
        <w:t>名称）：</w:t>
      </w:r>
    </w:p>
    <w:p w14:paraId="02DFE38C">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（供应商名称）郑重承诺：</w:t>
      </w:r>
    </w:p>
    <w:p w14:paraId="704AABE4">
      <w:pPr>
        <w:pageBreakBefore w:val="0"/>
        <w:kinsoku/>
        <w:wordWrap/>
        <w:overflowPunct/>
        <w:topLinePunct w:val="0"/>
        <w:autoSpaceDE/>
        <w:autoSpaceDN/>
        <w:bidi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1.我方具有良好的商业信誉和健全的财务会计制度，具有履行合同所必需的设备和专业技术能力，具</w:t>
      </w:r>
      <w:r>
        <w:rPr>
          <w:rFonts w:hint="eastAsia" w:ascii="方正仿宋_GBK" w:hAnsi="方正仿宋_GBK" w:eastAsia="方正仿宋_GBK" w:cs="方正仿宋_GBK"/>
          <w:color w:val="auto"/>
          <w:sz w:val="32"/>
          <w:szCs w:val="32"/>
          <w:lang w:val="zh-CN"/>
        </w:rPr>
        <w:t>有依法缴纳税收和社会保障金的良好记录</w:t>
      </w:r>
      <w:r>
        <w:rPr>
          <w:rFonts w:hint="eastAsia" w:ascii="方正仿宋_GBK" w:hAnsi="方正仿宋_GBK" w:eastAsia="方正仿宋_GBK" w:cs="方正仿宋_GBK"/>
          <w:color w:val="auto"/>
          <w:sz w:val="32"/>
          <w:szCs w:val="32"/>
        </w:rPr>
        <w:t>，参加本项目采购活动前三年内无重大违法活动记录。</w:t>
      </w:r>
    </w:p>
    <w:p w14:paraId="20401073">
      <w:pPr>
        <w:pageBreakBefore w:val="0"/>
        <w:kinsoku/>
        <w:wordWrap/>
        <w:overflowPunct/>
        <w:topLinePunct w:val="0"/>
        <w:autoSpaceDE/>
        <w:autoSpaceDN/>
        <w:bidi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2.我方未列入在信用中国网站（www.creditchina.gov.cn）“失信被执行人”、“重大税收违法案件当事人名单”中，也未列入中国政府采购网（www.ccgp.gov.cn）“政府采购严重违法失信行为记录名单”中。</w:t>
      </w:r>
    </w:p>
    <w:p w14:paraId="0CF26ECD">
      <w:pPr>
        <w:pageBreakBefore w:val="0"/>
        <w:kinsoku/>
        <w:wordWrap/>
        <w:overflowPunct/>
        <w:topLinePunct w:val="0"/>
        <w:autoSpaceDE/>
        <w:autoSpaceDN/>
        <w:bidi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3.我方在采购项目评审（评标）环节结束后，随时接受采购人、采购代理机构的检查验证，配合提供相关证明材料，证明符合《中华人民共和国政府采购法》规定的供应商基本资格条件。</w:t>
      </w:r>
    </w:p>
    <w:p w14:paraId="347A205E">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我方对以上承诺负全部法律责任。</w:t>
      </w:r>
    </w:p>
    <w:p w14:paraId="531F9BD8">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特此承诺。</w:t>
      </w:r>
    </w:p>
    <w:p w14:paraId="61668B7B">
      <w:pPr>
        <w:pageBreakBefore w:val="0"/>
        <w:tabs>
          <w:tab w:val="left" w:pos="6300"/>
        </w:tabs>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32"/>
          <w:szCs w:val="32"/>
        </w:rPr>
      </w:pPr>
    </w:p>
    <w:p w14:paraId="0557FF1C">
      <w:pPr>
        <w:pageBreakBefore w:val="0"/>
        <w:tabs>
          <w:tab w:val="left" w:pos="6300"/>
        </w:tabs>
        <w:kinsoku/>
        <w:wordWrap/>
        <w:overflowPunct/>
        <w:topLinePunct w:val="0"/>
        <w:autoSpaceDE/>
        <w:autoSpaceDN/>
        <w:bidi w:val="0"/>
        <w:snapToGrid w:val="0"/>
        <w:spacing w:line="580" w:lineRule="exact"/>
        <w:ind w:right="424" w:firstLine="570"/>
        <w:jc w:val="righ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（供应商公章）</w:t>
      </w:r>
    </w:p>
    <w:p w14:paraId="3519E4AE">
      <w:pPr>
        <w:pageBreakBefore w:val="0"/>
        <w:tabs>
          <w:tab w:val="left" w:pos="6300"/>
        </w:tabs>
        <w:kinsoku/>
        <w:wordWrap/>
        <w:overflowPunct/>
        <w:topLinePunct w:val="0"/>
        <w:autoSpaceDE/>
        <w:autoSpaceDN/>
        <w:bidi w:val="0"/>
        <w:snapToGrid w:val="0"/>
        <w:spacing w:line="580" w:lineRule="exact"/>
        <w:ind w:firstLine="6720" w:firstLineChars="21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年   月   日</w:t>
      </w:r>
    </w:p>
    <w:p w14:paraId="6EC0CBA4">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br w:type="page"/>
      </w:r>
      <w:r>
        <w:rPr>
          <w:rFonts w:hint="eastAsia" w:ascii="方正楷体_GBK" w:hAnsi="方正楷体_GBK" w:eastAsia="方正楷体_GBK" w:cs="方正楷体_GBK"/>
          <w:color w:val="auto"/>
          <w:sz w:val="32"/>
          <w:szCs w:val="32"/>
        </w:rPr>
        <w:t>（五）特定资格条件证明文件（如果有）</w:t>
      </w:r>
    </w:p>
    <w:p w14:paraId="08F515F5">
      <w:pPr>
        <w:pStyle w:val="3"/>
        <w:pageBreakBefore w:val="0"/>
        <w:kinsoku/>
        <w:wordWrap/>
        <w:overflowPunct/>
        <w:topLinePunct w:val="0"/>
        <w:autoSpaceDE/>
        <w:autoSpaceDN/>
        <w:bidi w:val="0"/>
        <w:adjustRightInd w:val="0"/>
        <w:snapToGrid w:val="0"/>
        <w:spacing w:before="0" w:after="0" w:line="580" w:lineRule="exact"/>
        <w:ind w:firstLine="640" w:firstLineChars="200"/>
        <w:jc w:val="both"/>
        <w:textAlignment w:val="auto"/>
        <w:outlineLvl w:val="0"/>
        <w:rPr>
          <w:rFonts w:hint="eastAsia" w:ascii="方正仿宋_GBK" w:hAnsi="方正仿宋_GBK" w:eastAsia="方正仿宋_GBK" w:cs="方正仿宋_GBK"/>
          <w:color w:val="auto"/>
          <w:sz w:val="32"/>
          <w:szCs w:val="32"/>
        </w:rPr>
      </w:pPr>
      <w:bookmarkStart w:id="378" w:name="_Toc14422"/>
      <w:r>
        <w:rPr>
          <w:rFonts w:hint="eastAsia" w:ascii="方正仿宋_GBK" w:hAnsi="方正仿宋_GBK" w:eastAsia="方正仿宋_GBK" w:cs="方正仿宋_GBK"/>
          <w:b w:val="0"/>
          <w:color w:val="auto"/>
          <w:sz w:val="32"/>
          <w:szCs w:val="32"/>
        </w:rPr>
        <w:br w:type="page"/>
      </w:r>
      <w:bookmarkStart w:id="379" w:name="_Toc20080"/>
      <w:bookmarkStart w:id="380" w:name="_Toc6831"/>
      <w:bookmarkStart w:id="381" w:name="_Toc1688"/>
      <w:bookmarkStart w:id="382" w:name="_Toc6349"/>
      <w:bookmarkStart w:id="383" w:name="_Toc19623"/>
      <w:bookmarkStart w:id="384" w:name="_Toc3346"/>
      <w:bookmarkStart w:id="385" w:name="_Toc2044"/>
      <w:bookmarkStart w:id="386" w:name="_Toc20899"/>
      <w:bookmarkStart w:id="387" w:name="_Toc5287"/>
      <w:bookmarkStart w:id="388" w:name="_Toc3613"/>
      <w:bookmarkStart w:id="389" w:name="_Toc16255"/>
      <w:bookmarkStart w:id="390" w:name="_Toc12029"/>
      <w:bookmarkStart w:id="391" w:name="_Toc76462354"/>
      <w:bookmarkStart w:id="392" w:name="_Toc19056"/>
      <w:bookmarkStart w:id="393" w:name="_Toc20423"/>
      <w:bookmarkStart w:id="394" w:name="_Toc15507"/>
      <w:bookmarkStart w:id="395" w:name="_Toc31874"/>
      <w:bookmarkStart w:id="396" w:name="_Toc7266"/>
      <w:bookmarkStart w:id="397" w:name="_Toc26249"/>
      <w:bookmarkStart w:id="398" w:name="_Toc29174"/>
      <w:bookmarkStart w:id="399" w:name="_Toc3994"/>
      <w:bookmarkStart w:id="400" w:name="_Toc11533"/>
      <w:bookmarkStart w:id="401" w:name="_Toc4342"/>
      <w:r>
        <w:rPr>
          <w:rFonts w:hint="eastAsia" w:ascii="方正黑体_GBK" w:hAnsi="方正黑体_GBK" w:eastAsia="方正黑体_GBK" w:cs="方正黑体_GBK"/>
          <w:b w:val="0"/>
          <w:bCs/>
          <w:color w:val="auto"/>
          <w:sz w:val="32"/>
          <w:szCs w:val="32"/>
        </w:rPr>
        <w:t>五、其他资料</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14:paraId="2F51DC21">
      <w:pPr>
        <w:pageBreakBefore w:val="0"/>
        <w:tabs>
          <w:tab w:val="left" w:pos="6300"/>
        </w:tabs>
        <w:kinsoku/>
        <w:wordWrap/>
        <w:overflowPunct/>
        <w:topLinePunct w:val="0"/>
        <w:autoSpaceDE/>
        <w:autoSpaceDN/>
        <w:bidi w:val="0"/>
        <w:snapToGrid w:val="0"/>
        <w:spacing w:line="580" w:lineRule="exact"/>
        <w:ind w:firstLine="640" w:firstLineChars="200"/>
        <w:textAlignment w:val="auto"/>
        <w:outlineLvl w:val="1"/>
        <w:rPr>
          <w:rFonts w:hint="eastAsia" w:ascii="方正楷体_GBK" w:hAnsi="方正楷体_GBK" w:eastAsia="方正楷体_GBK" w:cs="方正楷体_GBK"/>
          <w:color w:val="auto"/>
          <w:sz w:val="32"/>
          <w:szCs w:val="32"/>
        </w:rPr>
      </w:pPr>
      <w:bookmarkStart w:id="402" w:name="_Toc3541"/>
      <w:r>
        <w:rPr>
          <w:rFonts w:hint="eastAsia" w:ascii="方正楷体_GBK" w:hAnsi="方正楷体_GBK" w:eastAsia="方正楷体_GBK" w:cs="方正楷体_GBK"/>
          <w:color w:val="auto"/>
          <w:sz w:val="32"/>
          <w:szCs w:val="32"/>
        </w:rPr>
        <w:t>（一）中小企业声明函、监狱企业证明文件、残疾人福利性单位声明函</w:t>
      </w:r>
      <w:bookmarkEnd w:id="402"/>
    </w:p>
    <w:p w14:paraId="3EC8F217">
      <w:pPr>
        <w:pageBreakBefore w:val="0"/>
        <w:tabs>
          <w:tab w:val="left" w:pos="6300"/>
        </w:tabs>
        <w:kinsoku/>
        <w:wordWrap/>
        <w:overflowPunct/>
        <w:topLinePunct w:val="0"/>
        <w:autoSpaceDE/>
        <w:autoSpaceDN/>
        <w:bidi w:val="0"/>
        <w:snapToGrid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3575E4CC">
      <w:pPr>
        <w:pageBreakBefore w:val="0"/>
        <w:tabs>
          <w:tab w:val="left" w:pos="6300"/>
        </w:tabs>
        <w:kinsoku/>
        <w:wordWrap/>
        <w:overflowPunct/>
        <w:topLinePunct w:val="0"/>
        <w:autoSpaceDE/>
        <w:autoSpaceDN/>
        <w:bidi w:val="0"/>
        <w:snapToGrid w:val="0"/>
        <w:spacing w:line="580" w:lineRule="exact"/>
        <w:ind w:firstLine="643" w:firstLineChars="200"/>
        <w:jc w:val="center"/>
        <w:textAlignment w:val="auto"/>
        <w:outlineLvl w:val="2"/>
        <w:rPr>
          <w:rFonts w:hint="eastAsia" w:ascii="方正仿宋_GBK" w:hAnsi="方正仿宋_GBK" w:eastAsia="方正仿宋_GBK" w:cs="方正仿宋_GBK"/>
          <w:b/>
          <w:bCs/>
          <w:color w:val="auto"/>
          <w:sz w:val="32"/>
          <w:szCs w:val="32"/>
        </w:rPr>
      </w:pPr>
      <w:bookmarkStart w:id="403" w:name="_Toc7240"/>
      <w:r>
        <w:rPr>
          <w:rFonts w:hint="eastAsia" w:ascii="方正仿宋_GBK" w:hAnsi="方正仿宋_GBK" w:eastAsia="方正仿宋_GBK" w:cs="方正仿宋_GBK"/>
          <w:b/>
          <w:bCs/>
          <w:color w:val="auto"/>
          <w:sz w:val="32"/>
          <w:szCs w:val="32"/>
        </w:rPr>
        <w:t>中小企业声明函</w:t>
      </w:r>
      <w:bookmarkEnd w:id="403"/>
    </w:p>
    <w:p w14:paraId="5C898414">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本公司郑重声明，根据《政府采购促进中小企业发展管理办法》（财库〔2020〕46号）的规定，本公司参加</w:t>
      </w:r>
      <w:r>
        <w:rPr>
          <w:rFonts w:hint="eastAsia" w:ascii="方正仿宋_GBK" w:hAnsi="方正仿宋_GBK" w:eastAsia="方正仿宋_GBK" w:cs="方正仿宋_GBK"/>
          <w:i/>
          <w:color w:val="auto"/>
          <w:sz w:val="32"/>
          <w:szCs w:val="32"/>
          <w:u w:val="single"/>
        </w:rPr>
        <w:t>（采购人单位名称）</w:t>
      </w:r>
      <w:r>
        <w:rPr>
          <w:rFonts w:hint="eastAsia" w:ascii="方正仿宋_GBK" w:hAnsi="方正仿宋_GBK" w:eastAsia="方正仿宋_GBK" w:cs="方正仿宋_GBK"/>
          <w:color w:val="auto"/>
          <w:sz w:val="32"/>
          <w:szCs w:val="32"/>
        </w:rPr>
        <w:t>的</w:t>
      </w:r>
      <w:r>
        <w:rPr>
          <w:rFonts w:hint="eastAsia" w:ascii="方正仿宋_GBK" w:hAnsi="方正仿宋_GBK" w:eastAsia="方正仿宋_GBK" w:cs="方正仿宋_GBK"/>
          <w:i/>
          <w:color w:val="auto"/>
          <w:sz w:val="32"/>
          <w:szCs w:val="32"/>
          <w:u w:val="single"/>
        </w:rPr>
        <w:t>（项目名称）</w:t>
      </w:r>
      <w:r>
        <w:rPr>
          <w:rFonts w:hint="eastAsia" w:ascii="方正仿宋_GBK" w:hAnsi="方正仿宋_GBK" w:eastAsia="方正仿宋_GBK" w:cs="方正仿宋_GBK"/>
          <w:color w:val="auto"/>
          <w:sz w:val="32"/>
          <w:szCs w:val="32"/>
        </w:rPr>
        <w:t>采购活动，工程的施工单位全部为符合政策要求的中小企业（或者：服务全部由符合政策要求的中小企业承接）。相关企业的具体情况如下：</w:t>
      </w:r>
    </w:p>
    <w:p w14:paraId="0C88C205">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color w:val="auto"/>
          <w:sz w:val="32"/>
          <w:szCs w:val="32"/>
          <w:u w:val="single"/>
        </w:rPr>
        <w:t>（标的名称）</w:t>
      </w:r>
      <w:r>
        <w:rPr>
          <w:rFonts w:hint="eastAsia" w:ascii="方正仿宋_GBK" w:hAnsi="方正仿宋_GBK" w:eastAsia="方正仿宋_GBK" w:cs="方正仿宋_GBK"/>
          <w:color w:val="auto"/>
          <w:sz w:val="32"/>
          <w:szCs w:val="32"/>
        </w:rPr>
        <w:t>，属于其他未列明行业；承建（承接）企业为</w:t>
      </w:r>
      <w:r>
        <w:rPr>
          <w:rFonts w:hint="eastAsia" w:ascii="方正仿宋_GBK" w:hAnsi="方正仿宋_GBK" w:eastAsia="方正仿宋_GBK" w:cs="方正仿宋_GBK"/>
          <w:i/>
          <w:color w:val="auto"/>
          <w:sz w:val="32"/>
          <w:szCs w:val="32"/>
          <w:u w:val="single"/>
        </w:rPr>
        <w:t>（企业名称）</w:t>
      </w:r>
      <w:r>
        <w:rPr>
          <w:rFonts w:hint="eastAsia" w:ascii="方正仿宋_GBK" w:hAnsi="方正仿宋_GBK" w:eastAsia="方正仿宋_GBK" w:cs="方正仿宋_GBK"/>
          <w:color w:val="auto"/>
          <w:sz w:val="32"/>
          <w:szCs w:val="32"/>
        </w:rPr>
        <w:t>，从业人员</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人，营业收入为</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万元，资产总额为</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万元，属于</w:t>
      </w:r>
      <w:r>
        <w:rPr>
          <w:rFonts w:hint="eastAsia" w:ascii="方正仿宋_GBK" w:hAnsi="方正仿宋_GBK" w:eastAsia="方正仿宋_GBK" w:cs="方正仿宋_GBK"/>
          <w:i/>
          <w:color w:val="auto"/>
          <w:sz w:val="32"/>
          <w:szCs w:val="32"/>
          <w:u w:val="single"/>
        </w:rPr>
        <w:t>（中型企业、小型企业、微型企业）</w:t>
      </w:r>
      <w:r>
        <w:rPr>
          <w:rFonts w:hint="eastAsia" w:ascii="方正仿宋_GBK" w:hAnsi="方正仿宋_GBK" w:eastAsia="方正仿宋_GBK" w:cs="方正仿宋_GBK"/>
          <w:color w:val="auto"/>
          <w:sz w:val="32"/>
          <w:szCs w:val="32"/>
        </w:rPr>
        <w:t>；</w:t>
      </w:r>
    </w:p>
    <w:p w14:paraId="4733B392">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为本标的提供的服务人员</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人，其中与本企业签订劳动合同</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人，其他人员</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人。</w:t>
      </w:r>
      <w:r>
        <w:rPr>
          <w:rFonts w:hint="eastAsia" w:ascii="方正仿宋_GBK" w:hAnsi="方正仿宋_GBK" w:eastAsia="方正仿宋_GBK" w:cs="方正仿宋_GBK"/>
          <w:b/>
          <w:bCs/>
          <w:color w:val="auto"/>
          <w:sz w:val="32"/>
          <w:szCs w:val="32"/>
        </w:rPr>
        <w:t>有其他人员的不符合中小企业扶持政策</w:t>
      </w:r>
      <w:r>
        <w:rPr>
          <w:rFonts w:hint="eastAsia" w:ascii="方正仿宋_GBK" w:hAnsi="方正仿宋_GBK" w:eastAsia="方正仿宋_GBK" w:cs="方正仿宋_GBK"/>
          <w:color w:val="auto"/>
          <w:sz w:val="32"/>
          <w:szCs w:val="32"/>
        </w:rPr>
        <w:t>；</w:t>
      </w:r>
    </w:p>
    <w:p w14:paraId="4C6B17F3">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w:t>
      </w:r>
    </w:p>
    <w:p w14:paraId="7E6371CA">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以上企业，不属于大企业的分支机构，不存在控股股东为大企业的情形，也不存在与大企业的负责人为同一人的情形。</w:t>
      </w:r>
    </w:p>
    <w:p w14:paraId="573EB410">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本企业对上述声明内容的真实性负责。如有虚假，将依法承担相应责任。</w:t>
      </w:r>
    </w:p>
    <w:p w14:paraId="2FBA0057">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w:t>
      </w:r>
    </w:p>
    <w:p w14:paraId="27EF9BDA">
      <w:pPr>
        <w:pageBreakBefore w:val="0"/>
        <w:tabs>
          <w:tab w:val="left" w:pos="6300"/>
        </w:tabs>
        <w:kinsoku/>
        <w:wordWrap/>
        <w:overflowPunct/>
        <w:topLinePunct w:val="0"/>
        <w:autoSpaceDE/>
        <w:autoSpaceDN/>
        <w:bidi w:val="0"/>
        <w:snapToGrid w:val="0"/>
        <w:spacing w:line="580" w:lineRule="exact"/>
        <w:ind w:firstLine="4480" w:firstLineChars="14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企业名称（盖章）： </w:t>
      </w:r>
    </w:p>
    <w:p w14:paraId="37B5F68A">
      <w:pPr>
        <w:pageBreakBefore w:val="0"/>
        <w:tabs>
          <w:tab w:val="left" w:pos="6300"/>
        </w:tabs>
        <w:kinsoku/>
        <w:wordWrap/>
        <w:overflowPunct/>
        <w:topLinePunct w:val="0"/>
        <w:autoSpaceDE/>
        <w:autoSpaceDN/>
        <w:bidi w:val="0"/>
        <w:snapToGrid w:val="0"/>
        <w:spacing w:line="580" w:lineRule="exact"/>
        <w:ind w:right="784" w:firstLine="4480" w:firstLineChars="14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日期：</w:t>
      </w:r>
    </w:p>
    <w:p w14:paraId="7DC72BEB">
      <w:pPr>
        <w:pageBreakBefore w:val="0"/>
        <w:tabs>
          <w:tab w:val="left" w:pos="6300"/>
        </w:tabs>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kern w:val="0"/>
          <w:sz w:val="32"/>
          <w:szCs w:val="32"/>
          <w:u w:val="single"/>
        </w:rPr>
      </w:pPr>
    </w:p>
    <w:p w14:paraId="423A73FE">
      <w:pPr>
        <w:pageBreakBefore w:val="0"/>
        <w:tabs>
          <w:tab w:val="left" w:pos="6300"/>
        </w:tabs>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b/>
          <w:bCs/>
          <w:color w:val="auto"/>
          <w:kern w:val="0"/>
          <w:sz w:val="32"/>
          <w:szCs w:val="32"/>
          <w:u w:val="single"/>
        </w:rPr>
      </w:pPr>
      <w:r>
        <w:rPr>
          <w:rFonts w:hint="eastAsia" w:ascii="方正仿宋_GBK" w:hAnsi="方正仿宋_GBK" w:eastAsia="方正仿宋_GBK" w:cs="方正仿宋_GBK"/>
          <w:b/>
          <w:bCs/>
          <w:color w:val="auto"/>
          <w:kern w:val="0"/>
          <w:sz w:val="32"/>
          <w:szCs w:val="32"/>
          <w:u w:val="single"/>
        </w:rPr>
        <w:t>填写时应注意以下事项：</w:t>
      </w:r>
    </w:p>
    <w:p w14:paraId="0BDD758B">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1.从业人员、营业收入、资产总额填报上一年度数据，无上一年度数据的新成立企业可不填报。</w:t>
      </w:r>
    </w:p>
    <w:p w14:paraId="10C41C7C">
      <w:pPr>
        <w:pageBreakBefore w:val="0"/>
        <w:tabs>
          <w:tab w:val="left" w:pos="6300"/>
        </w:tabs>
        <w:kinsoku/>
        <w:wordWrap/>
        <w:overflowPunct/>
        <w:topLinePunct w:val="0"/>
        <w:autoSpaceDE/>
        <w:autoSpaceDN/>
        <w:bidi w:val="0"/>
        <w:snapToGrid w:val="0"/>
        <w:spacing w:line="580" w:lineRule="exact"/>
        <w:ind w:firstLine="643" w:firstLineChars="200"/>
        <w:textAlignment w:val="auto"/>
        <w:rPr>
          <w:rFonts w:hint="eastAsia" w:ascii="方正仿宋_GBK" w:hAnsi="方正仿宋_GBK" w:eastAsia="方正仿宋_GBK" w:cs="方正仿宋_GBK"/>
          <w:b/>
          <w:color w:val="auto"/>
          <w:kern w:val="0"/>
          <w:sz w:val="32"/>
          <w:szCs w:val="32"/>
        </w:rPr>
      </w:pPr>
      <w:r>
        <w:rPr>
          <w:rFonts w:hint="eastAsia" w:ascii="方正仿宋_GBK" w:hAnsi="方正仿宋_GBK" w:eastAsia="方正仿宋_GBK" w:cs="方正仿宋_GBK"/>
          <w:b/>
          <w:color w:val="auto"/>
          <w:kern w:val="0"/>
          <w:sz w:val="32"/>
          <w:szCs w:val="32"/>
        </w:rPr>
        <w:t>2.中小企业应当按照《中小企业划型标准规定》（工信部联企业〔2011〕300号），如实填写并提交《中小企业声明函》。</w:t>
      </w:r>
    </w:p>
    <w:p w14:paraId="3E098A4B">
      <w:pPr>
        <w:pageBreakBefore w:val="0"/>
        <w:tabs>
          <w:tab w:val="left" w:pos="6300"/>
        </w:tabs>
        <w:kinsoku/>
        <w:wordWrap/>
        <w:overflowPunct/>
        <w:topLinePunct w:val="0"/>
        <w:autoSpaceDE/>
        <w:autoSpaceDN/>
        <w:bidi w:val="0"/>
        <w:snapToGrid w:val="0"/>
        <w:spacing w:line="580" w:lineRule="exact"/>
        <w:ind w:firstLine="643" w:firstLineChars="200"/>
        <w:textAlignment w:val="auto"/>
        <w:rPr>
          <w:rFonts w:hint="eastAsia" w:ascii="方正仿宋_GBK" w:hAnsi="方正仿宋_GBK" w:eastAsia="方正仿宋_GBK" w:cs="方正仿宋_GBK"/>
          <w:b/>
          <w:color w:val="auto"/>
          <w:kern w:val="0"/>
          <w:sz w:val="32"/>
          <w:szCs w:val="32"/>
        </w:rPr>
      </w:pPr>
      <w:r>
        <w:rPr>
          <w:rFonts w:hint="eastAsia" w:ascii="方正仿宋_GBK" w:hAnsi="方正仿宋_GBK" w:eastAsia="方正仿宋_GBK" w:cs="方正仿宋_GBK"/>
          <w:b/>
          <w:color w:val="auto"/>
          <w:kern w:val="0"/>
          <w:sz w:val="32"/>
          <w:szCs w:val="32"/>
        </w:rPr>
        <w:t>3.供应商填写《中小企业声明函》中所属行业时，应与采购文件第一篇“采购标的对应的中小企业划分标准所属行业”中填写的所属行业一致。</w:t>
      </w:r>
    </w:p>
    <w:p w14:paraId="761A6AAB">
      <w:pPr>
        <w:pageBreakBefore w:val="0"/>
        <w:tabs>
          <w:tab w:val="left" w:pos="6300"/>
        </w:tabs>
        <w:kinsoku/>
        <w:wordWrap/>
        <w:overflowPunct/>
        <w:topLinePunct w:val="0"/>
        <w:autoSpaceDE/>
        <w:autoSpaceDN/>
        <w:bidi w:val="0"/>
        <w:snapToGrid w:val="0"/>
        <w:spacing w:line="580" w:lineRule="exact"/>
        <w:ind w:firstLine="643" w:firstLineChars="200"/>
        <w:textAlignment w:val="auto"/>
        <w:rPr>
          <w:rFonts w:hint="eastAsia" w:ascii="方正仿宋_GBK" w:hAnsi="方正仿宋_GBK" w:eastAsia="方正仿宋_GBK" w:cs="方正仿宋_GBK"/>
          <w:b/>
          <w:color w:val="auto"/>
          <w:kern w:val="0"/>
          <w:sz w:val="32"/>
          <w:szCs w:val="32"/>
        </w:rPr>
      </w:pPr>
      <w:r>
        <w:rPr>
          <w:rFonts w:hint="eastAsia" w:ascii="方正仿宋_GBK" w:hAnsi="方正仿宋_GBK" w:eastAsia="方正仿宋_GBK" w:cs="方正仿宋_GBK"/>
          <w:b/>
          <w:color w:val="auto"/>
          <w:kern w:val="0"/>
          <w:sz w:val="32"/>
          <w:szCs w:val="32"/>
        </w:rPr>
        <w:t>4.</w:t>
      </w:r>
      <w:r>
        <w:rPr>
          <w:rFonts w:hint="eastAsia" w:ascii="方正仿宋_GBK" w:hAnsi="方正仿宋_GBK" w:eastAsia="方正仿宋_GBK" w:cs="方正仿宋_GBK"/>
          <w:b/>
          <w:color w:val="auto"/>
          <w:kern w:val="0"/>
          <w:sz w:val="32"/>
          <w:szCs w:val="32"/>
          <w:u w:val="single"/>
        </w:rPr>
        <w:t>本声明函“企业名称（盖章）”处为参加</w:t>
      </w:r>
      <w:r>
        <w:rPr>
          <w:rFonts w:hint="eastAsia" w:ascii="方正仿宋_GBK" w:hAnsi="方正仿宋_GBK" w:eastAsia="方正仿宋_GBK" w:cs="方正仿宋_GBK"/>
          <w:b/>
          <w:color w:val="auto"/>
          <w:kern w:val="0"/>
          <w:sz w:val="32"/>
          <w:szCs w:val="32"/>
          <w:u w:val="single"/>
          <w:lang w:eastAsia="zh-CN"/>
        </w:rPr>
        <w:t>遴选</w:t>
      </w:r>
      <w:r>
        <w:rPr>
          <w:rFonts w:hint="eastAsia" w:ascii="方正仿宋_GBK" w:hAnsi="方正仿宋_GBK" w:eastAsia="方正仿宋_GBK" w:cs="方正仿宋_GBK"/>
          <w:b/>
          <w:color w:val="auto"/>
          <w:kern w:val="0"/>
          <w:sz w:val="32"/>
          <w:szCs w:val="32"/>
          <w:u w:val="single"/>
        </w:rPr>
        <w:t>的供应商盖章。</w:t>
      </w:r>
    </w:p>
    <w:p w14:paraId="1A442B74">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p>
    <w:p w14:paraId="12BFAA21">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注：各行业划型标准：</w:t>
      </w:r>
    </w:p>
    <w:p w14:paraId="1D128484">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（一）农、林、牧、渔业。营业收入20000万元以下的为中小微型企业。其中，营业收入500万元及以上的为中型企业，营业收入50万元及以上的为小型企业，营业收入50万元以下的为微型企业。</w:t>
      </w:r>
    </w:p>
    <w:p w14:paraId="18D9D2EA">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27AD5F89">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404018AE">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43ACB659">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7F3E3E42">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7D5D6EDC">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396CECEB">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3DB8974">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4005522">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4E56842">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587B9B9">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22A28992">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7E422B74">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23C77172">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9ADB49F">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（十六）其他未列明行业。从业人员300人以下的为中小微型企业。其中，从业人员100人及以上的为中型企业；从业人员10人及以上的为小型企业；从业人员10人以下的为微型企业。</w:t>
      </w:r>
    </w:p>
    <w:p w14:paraId="18DDA558">
      <w:pPr>
        <w:pageBreakBefore w:val="0"/>
        <w:tabs>
          <w:tab w:val="left" w:pos="6300"/>
        </w:tabs>
        <w:kinsoku/>
        <w:wordWrap/>
        <w:overflowPunct/>
        <w:topLinePunct w:val="0"/>
        <w:autoSpaceDE/>
        <w:autoSpaceDN/>
        <w:bidi w:val="0"/>
        <w:snapToGrid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br w:type="page"/>
      </w:r>
      <w:r>
        <w:rPr>
          <w:rFonts w:hint="eastAsia" w:ascii="方正仿宋_GBK" w:hAnsi="方正仿宋_GBK" w:eastAsia="方正仿宋_GBK" w:cs="方正仿宋_GBK"/>
          <w:b/>
          <w:bCs/>
          <w:color w:val="auto"/>
          <w:sz w:val="32"/>
          <w:szCs w:val="32"/>
        </w:rPr>
        <w:t>监狱企业证明文件</w:t>
      </w:r>
    </w:p>
    <w:p w14:paraId="6D96ADE2">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以省级以上监狱管理局、戒毒管理局（含新疆生产建设兵团）出具的属于监狱企业的证明文件为准。</w:t>
      </w:r>
    </w:p>
    <w:p w14:paraId="34B15C25">
      <w:pPr>
        <w:pageBreakBefore w:val="0"/>
        <w:tabs>
          <w:tab w:val="left" w:pos="6300"/>
        </w:tabs>
        <w:kinsoku/>
        <w:wordWrap/>
        <w:overflowPunct/>
        <w:topLinePunct w:val="0"/>
        <w:autoSpaceDE/>
        <w:autoSpaceDN/>
        <w:bidi w:val="0"/>
        <w:snapToGrid w:val="0"/>
        <w:spacing w:line="580" w:lineRule="exact"/>
        <w:ind w:firstLine="640" w:firstLineChars="200"/>
        <w:jc w:val="center"/>
        <w:textAlignment w:val="auto"/>
        <w:outlineLvl w:val="2"/>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br w:type="page"/>
      </w:r>
      <w:bookmarkStart w:id="404" w:name="_Toc4248"/>
      <w:r>
        <w:rPr>
          <w:rFonts w:hint="eastAsia" w:ascii="方正仿宋_GBK" w:hAnsi="方正仿宋_GBK" w:eastAsia="方正仿宋_GBK" w:cs="方正仿宋_GBK"/>
          <w:b/>
          <w:bCs/>
          <w:color w:val="auto"/>
          <w:sz w:val="32"/>
          <w:szCs w:val="32"/>
        </w:rPr>
        <w:t>残疾人福利性单位声明函</w:t>
      </w:r>
      <w:bookmarkEnd w:id="404"/>
    </w:p>
    <w:p w14:paraId="011B011F">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21073F6">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本单位对上述声明的真实性负责。如有虚假，将依法承担相应责任。</w:t>
      </w:r>
    </w:p>
    <w:p w14:paraId="53F484C3">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181B7128">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73E00261">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残疾人福利性单位名称（盖章）：</w:t>
      </w:r>
    </w:p>
    <w:p w14:paraId="69CEC7CD">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日  期：</w:t>
      </w:r>
    </w:p>
    <w:p w14:paraId="3B81D633">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05F8E2E3">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2A2B2BA5">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590D6B5C">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3B30CFAD">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072464F8">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7852FC5A">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3B3D7CA4">
      <w:pPr>
        <w:pageBreakBefore w:val="0"/>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32"/>
          <w:szCs w:val="32"/>
        </w:rPr>
      </w:pPr>
    </w:p>
    <w:p w14:paraId="7D0EC1C3">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0737B8A1">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rPr>
        <w:t>若</w:t>
      </w:r>
      <w:r>
        <w:rPr>
          <w:rFonts w:hint="eastAsia" w:ascii="方正仿宋_GBK" w:hAnsi="方正仿宋_GBK" w:eastAsia="方正仿宋_GBK" w:cs="方正仿宋_GBK"/>
          <w:color w:val="auto"/>
          <w:kern w:val="0"/>
          <w:sz w:val="32"/>
          <w:szCs w:val="32"/>
          <w:lang w:eastAsia="zh-CN"/>
        </w:rPr>
        <w:t>入围</w:t>
      </w:r>
      <w:r>
        <w:rPr>
          <w:rFonts w:hint="eastAsia" w:ascii="方正仿宋_GBK" w:hAnsi="方正仿宋_GBK" w:eastAsia="方正仿宋_GBK" w:cs="方正仿宋_GBK"/>
          <w:color w:val="auto"/>
          <w:kern w:val="0"/>
          <w:sz w:val="32"/>
          <w:szCs w:val="32"/>
        </w:rPr>
        <w:t>供应商为残疾人福利性单位的，将在结果公告时公告其《残疾人福利性单位声明函》。</w:t>
      </w:r>
      <w:r>
        <w:rPr>
          <w:rFonts w:hint="eastAsia" w:ascii="方正仿宋_GBK" w:hAnsi="方正仿宋_GBK" w:eastAsia="方正仿宋_GBK" w:cs="方正仿宋_GBK"/>
          <w:color w:val="auto"/>
          <w:sz w:val="32"/>
          <w:szCs w:val="32"/>
        </w:rPr>
        <w:br w:type="page"/>
      </w:r>
      <w:r>
        <w:rPr>
          <w:rFonts w:hint="eastAsia" w:ascii="方正楷体_GBK" w:hAnsi="方正楷体_GBK" w:eastAsia="方正楷体_GBK" w:cs="方正楷体_GBK"/>
          <w:color w:val="auto"/>
          <w:sz w:val="32"/>
          <w:szCs w:val="32"/>
        </w:rPr>
        <w:t>（二）其他与项目有关的资料</w:t>
      </w:r>
    </w:p>
    <w:p w14:paraId="1C203A91">
      <w:pPr>
        <w:pageBreakBefore w:val="0"/>
        <w:kinsoku/>
        <w:wordWrap/>
        <w:overflowPunct/>
        <w:topLinePunct w:val="0"/>
        <w:autoSpaceDE/>
        <w:autoSpaceDN/>
        <w:bidi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其他与项目有关的资料（自附）：供应商总体情况介绍、其他与本项目有关的资料等。</w:t>
      </w:r>
    </w:p>
    <w:p w14:paraId="3AEA1561">
      <w:pPr>
        <w:pageBreakBefore w:val="0"/>
        <w:kinsoku/>
        <w:wordWrap/>
        <w:overflowPunct/>
        <w:topLinePunct w:val="0"/>
        <w:autoSpaceDE/>
        <w:autoSpaceDN/>
        <w:bidi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1932F803">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540C3D26">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6C76138D">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42FB3A98">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22890577">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4BE764DC">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16AAF42B">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3EE5E26A">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30743B5E">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0F589C44">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1A3D82E9">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5C265687">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2FE48DB8">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5303BF33">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1C21B02E">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4C6FC4B7">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6FB2C9AA">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16B7F716">
      <w:pPr>
        <w:pageBreakBefore w:val="0"/>
        <w:kinsoku/>
        <w:wordWrap/>
        <w:overflowPunct/>
        <w:topLinePunct w:val="0"/>
        <w:autoSpaceDE/>
        <w:autoSpaceDN/>
        <w:bidi w:val="0"/>
        <w:spacing w:line="580" w:lineRule="exact"/>
        <w:jc w:val="both"/>
        <w:textAlignment w:val="auto"/>
        <w:rPr>
          <w:rFonts w:hint="eastAsia" w:ascii="方正仿宋_GBK" w:hAnsi="方正仿宋_GBK" w:eastAsia="方正仿宋_GBK" w:cs="方正仿宋_GBK"/>
          <w:color w:val="auto"/>
          <w:sz w:val="32"/>
          <w:szCs w:val="32"/>
        </w:rPr>
      </w:pPr>
    </w:p>
    <w:p w14:paraId="6D28EE00">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3A627F50">
      <w:pPr>
        <w:pageBreakBefore w:val="0"/>
        <w:kinsoku/>
        <w:wordWrap/>
        <w:overflowPunct/>
        <w:topLinePunct w:val="0"/>
        <w:autoSpaceDE/>
        <w:autoSpaceDN/>
        <w:bidi w:val="0"/>
        <w:spacing w:line="580" w:lineRule="exact"/>
        <w:ind w:firstLine="640" w:firstLineChars="200"/>
        <w:jc w:val="center"/>
        <w:textAlignment w:val="auto"/>
        <w:outlineLvl w:val="9"/>
      </w:pPr>
      <w:r>
        <w:rPr>
          <w:rFonts w:hint="eastAsia" w:ascii="方正仿宋_GBK" w:hAnsi="方正仿宋_GBK" w:eastAsia="方正仿宋_GBK" w:cs="方正仿宋_GBK"/>
          <w:color w:val="auto"/>
          <w:sz w:val="32"/>
          <w:szCs w:val="32"/>
        </w:rPr>
        <w:t>（结束）</w:t>
      </w:r>
    </w:p>
    <w:sectPr>
      <w:headerReference r:id="rId7" w:type="default"/>
      <w:footerReference r:id="rId8" w:type="default"/>
      <w:pgSz w:w="11907" w:h="16840"/>
      <w:pgMar w:top="1440" w:right="1275" w:bottom="993" w:left="1134" w:header="851" w:footer="77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4505538-6CA7-4560-8248-9E7542E19706}"/>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4CB06F7A-D96F-4D48-9878-94A4D8CC93A0}"/>
  </w:font>
  <w:font w:name="方正黑体_GBK">
    <w:panose1 w:val="03000509000000000000"/>
    <w:charset w:val="86"/>
    <w:family w:val="script"/>
    <w:pitch w:val="default"/>
    <w:sig w:usb0="00000001" w:usb1="080E0000" w:usb2="00000000" w:usb3="00000000" w:csb0="00040000" w:csb1="00000000"/>
    <w:embedRegular r:id="rId3" w:fontKey="{70EAE9D7-7CEF-4E7E-BC09-12F7AFA6C9DE}"/>
  </w:font>
  <w:font w:name="PMingLiU">
    <w:altName w:val="PMingLiU-ExtB"/>
    <w:panose1 w:val="02020500000000000000"/>
    <w:charset w:val="88"/>
    <w:family w:val="roman"/>
    <w:pitch w:val="default"/>
    <w:sig w:usb0="00000000" w:usb1="00000000" w:usb2="00000016" w:usb3="00000000" w:csb0="00100001" w:csb1="00000000"/>
  </w:font>
  <w:font w:name="仿宋_GB2312">
    <w:panose1 w:val="02010609030101010101"/>
    <w:charset w:val="86"/>
    <w:family w:val="modern"/>
    <w:pitch w:val="default"/>
    <w:sig w:usb0="00000001" w:usb1="080E0000" w:usb2="00000000" w:usb3="00000000" w:csb0="00040000" w:csb1="00000000"/>
  </w:font>
  <w:font w:name="文鼎粗黑">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4" w:fontKey="{6871AF83-CE69-49A3-8204-6DF8A60B46C8}"/>
  </w:font>
  <w:font w:name="方正仿宋_GBK">
    <w:panose1 w:val="03000509000000000000"/>
    <w:charset w:val="86"/>
    <w:family w:val="script"/>
    <w:pitch w:val="default"/>
    <w:sig w:usb0="00000001" w:usb1="080E0000" w:usb2="00000000" w:usb3="00000000" w:csb0="00040000" w:csb1="00000000"/>
    <w:embedRegular r:id="rId5" w:fontKey="{2537DCC5-9B24-4034-B956-B79ABFDD1A39}"/>
  </w:font>
  <w:font w:name="方正楷体_GBK">
    <w:panose1 w:val="03000509000000000000"/>
    <w:charset w:val="86"/>
    <w:family w:val="script"/>
    <w:pitch w:val="default"/>
    <w:sig w:usb0="00000001" w:usb1="080E0000" w:usb2="00000000" w:usb3="00000000" w:csb0="00040000" w:csb1="00000000"/>
    <w:embedRegular r:id="rId6" w:fontKey="{D850C4BC-53C1-46A9-B77C-41FEA16BB47D}"/>
  </w:font>
  <w:font w:name="微软雅黑">
    <w:panose1 w:val="020B0503020204020204"/>
    <w:charset w:val="86"/>
    <w:family w:val="auto"/>
    <w:pitch w:val="default"/>
    <w:sig w:usb0="80000287" w:usb1="2ACF3C50" w:usb2="00000016" w:usb3="00000000" w:csb0="0004001F" w:csb1="00000000"/>
  </w:font>
  <w:font w:name="PMingLiU-ExtB">
    <w:panose1 w:val="02020500000000000000"/>
    <w:charset w:val="88"/>
    <w:family w:val="auto"/>
    <w:pitch w:val="default"/>
    <w:sig w:usb0="8000002F" w:usb1="02000008" w:usb2="00000000" w:usb3="00000000" w:csb0="0010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FABD7">
    <w:pPr>
      <w:pStyle w:val="36"/>
      <w:ind w:left="1120"/>
      <w:jc w:val="center"/>
      <w:rPr>
        <w:rFonts w:hint="eastAsia" w:ascii="宋体" w:hAnsi="宋体"/>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4A4F44">
                          <w:pPr>
                            <w:pStyle w:val="48"/>
                            <w:tabs>
                              <w:tab w:val="center" w:pos="4153"/>
                              <w:tab w:val="right" w:pos="8306"/>
                            </w:tabs>
                            <w:ind w:left="0" w:leftChars="0" w:firstLine="0" w:firstLineChars="0"/>
                          </w:pPr>
                          <w:r>
                            <w:fldChar w:fldCharType="begin"/>
                          </w:r>
                          <w:r>
                            <w:instrText xml:space="preserve"> PAGE  \* MERGEFORMAT </w:instrText>
                          </w:r>
                          <w:r>
                            <w:fldChar w:fldCharType="separate"/>
                          </w:r>
                          <w:r>
                            <w:t>14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704A4F44">
                    <w:pPr>
                      <w:pStyle w:val="48"/>
                      <w:tabs>
                        <w:tab w:val="center" w:pos="4153"/>
                        <w:tab w:val="right" w:pos="8306"/>
                      </w:tabs>
                      <w:ind w:left="0" w:leftChars="0" w:firstLine="0" w:firstLineChars="0"/>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36650">
    <w:pPr>
      <w:pStyle w:val="36"/>
      <w:jc w:val="center"/>
      <w:rPr>
        <w:rFonts w:ascii="宋体" w:hAnsi="宋体"/>
        <w:sz w:val="21"/>
        <w:szCs w:val="21"/>
      </w:rPr>
    </w:pPr>
    <w:r>
      <w:rPr>
        <w:rFonts w:ascii="宋体" w:hAnsi="宋体"/>
        <w:sz w:val="21"/>
        <w:szCs w:val="21"/>
      </w:rPr>
      <w:fldChar w:fldCharType="begin"/>
    </w:r>
    <w:r>
      <w:rPr>
        <w:rStyle w:val="61"/>
        <w:rFonts w:ascii="宋体" w:hAnsi="宋体"/>
        <w:sz w:val="21"/>
        <w:szCs w:val="21"/>
      </w:rPr>
      <w:instrText xml:space="preserve"> PAGE </w:instrText>
    </w:r>
    <w:r>
      <w:rPr>
        <w:rFonts w:ascii="宋体" w:hAnsi="宋体"/>
        <w:sz w:val="21"/>
        <w:szCs w:val="21"/>
      </w:rPr>
      <w:fldChar w:fldCharType="separate"/>
    </w:r>
    <w:r>
      <w:rPr>
        <w:rStyle w:val="61"/>
        <w:rFonts w:ascii="宋体" w:hAnsi="宋体"/>
        <w:sz w:val="21"/>
        <w:szCs w:val="21"/>
      </w:rPr>
      <w:t>- 3 -</w:t>
    </w:r>
    <w:r>
      <w:rPr>
        <w:rFonts w:ascii="宋体" w:hAnsi="宋体"/>
        <w:sz w:val="21"/>
        <w:szCs w:val="21"/>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CAD94">
    <w:pPr>
      <w:pStyle w:val="36"/>
      <w:jc w:val="center"/>
    </w:pPr>
    <w:r>
      <w:t xml:space="preserve">第 </w:t>
    </w:r>
    <w:r>
      <w:fldChar w:fldCharType="begin"/>
    </w:r>
    <w:r>
      <w:instrText xml:space="preserve"> PAGE  \* MERGEFORMAT </w:instrText>
    </w:r>
    <w:r>
      <w:fldChar w:fldCharType="separate"/>
    </w:r>
    <w:r>
      <w:t>21</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p w14:paraId="34D7F4FA">
    <w:pPr>
      <w:pStyle w:val="3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7FA11">
    <w:pPr>
      <w:pStyle w:val="37"/>
      <w:jc w:val="left"/>
    </w:pPr>
    <w:r>
      <w:rPr>
        <w:rFonts w:hint="eastAsia"/>
      </w:rPr>
      <w:t>重庆市黔江中心医院                                                                   遴选文件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96EB8">
    <w:pPr>
      <w:pStyle w:val="37"/>
      <w:pBdr>
        <w:bottom w:val="single" w:color="auto" w:sz="4" w:space="1"/>
      </w:pBdr>
      <w:jc w:val="both"/>
      <w:rPr>
        <w:rFonts w:ascii="方正仿宋_GBK" w:eastAsia="方正仿宋_GBK"/>
        <w:sz w:val="21"/>
        <w:szCs w:val="24"/>
      </w:rPr>
    </w:pPr>
    <w:r>
      <w:rPr>
        <w:rFonts w:hint="eastAsia" w:ascii="方正仿宋_GBK" w:eastAsia="方正仿宋_GBK"/>
        <w:sz w:val="21"/>
        <w:szCs w:val="24"/>
      </w:rPr>
      <w:t>重庆市黔江中心医院                                                               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66A17">
    <w:pPr>
      <w:pStyle w:val="37"/>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B5A1DA"/>
    <w:multiLevelType w:val="singleLevel"/>
    <w:tmpl w:val="8FB5A1DA"/>
    <w:lvl w:ilvl="0" w:tentative="0">
      <w:start w:val="3"/>
      <w:numFmt w:val="chineseCounting"/>
      <w:suff w:val="nothing"/>
      <w:lvlText w:val="%1、"/>
      <w:lvlJc w:val="left"/>
      <w:rPr>
        <w:rFonts w:hint="eastAsia"/>
      </w:rPr>
    </w:lvl>
  </w:abstractNum>
  <w:abstractNum w:abstractNumId="1">
    <w:nsid w:val="00000001"/>
    <w:multiLevelType w:val="singleLevel"/>
    <w:tmpl w:val="00000001"/>
    <w:lvl w:ilvl="0" w:tentative="0">
      <w:start w:val="1"/>
      <w:numFmt w:val="decimal"/>
      <w:pStyle w:val="14"/>
      <w:lvlText w:val="%1."/>
      <w:lvlJc w:val="left"/>
      <w:pPr>
        <w:tabs>
          <w:tab w:val="left" w:pos="780"/>
        </w:tabs>
        <w:ind w:left="780" w:hanging="360"/>
      </w:pPr>
    </w:lvl>
  </w:abstractNum>
  <w:abstractNum w:abstractNumId="2">
    <w:nsid w:val="00000002"/>
    <w:multiLevelType w:val="singleLevel"/>
    <w:tmpl w:val="00000002"/>
    <w:lvl w:ilvl="0" w:tentative="0">
      <w:start w:val="1"/>
      <w:numFmt w:val="bullet"/>
      <w:pStyle w:val="21"/>
      <w:lvlText w:val=""/>
      <w:lvlJc w:val="left"/>
      <w:pPr>
        <w:tabs>
          <w:tab w:val="left" w:pos="1620"/>
        </w:tabs>
        <w:ind w:left="1620" w:hanging="360"/>
      </w:pPr>
      <w:rPr>
        <w:rFonts w:hint="default" w:ascii="Wingdings" w:hAnsi="Wingdings"/>
      </w:rPr>
    </w:lvl>
  </w:abstractNum>
  <w:abstractNum w:abstractNumId="3">
    <w:nsid w:val="00000003"/>
    <w:multiLevelType w:val="multilevel"/>
    <w:tmpl w:val="00000003"/>
    <w:lvl w:ilvl="0" w:tentative="0">
      <w:start w:val="1"/>
      <w:numFmt w:val="bullet"/>
      <w:pStyle w:val="167"/>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4"/>
    <w:multiLevelType w:val="multilevel"/>
    <w:tmpl w:val="00000004"/>
    <w:lvl w:ilvl="0" w:tentative="0">
      <w:start w:val="1"/>
      <w:numFmt w:val="chineseCountingThousand"/>
      <w:pStyle w:val="13"/>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5"/>
    <w:multiLevelType w:val="multilevel"/>
    <w:tmpl w:val="00000005"/>
    <w:lvl w:ilvl="0" w:tentative="0">
      <w:start w:val="1"/>
      <w:numFmt w:val="upperLetter"/>
      <w:pStyle w:val="145"/>
      <w:suff w:val="nothing"/>
      <w:lvlText w:val="附　录　%1"/>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pStyle w:val="170"/>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00000006"/>
    <w:multiLevelType w:val="multilevel"/>
    <w:tmpl w:val="00000006"/>
    <w:lvl w:ilvl="0" w:tentative="0">
      <w:start w:val="8"/>
      <w:numFmt w:val="decimal"/>
      <w:pStyle w:val="152"/>
      <w:lvlText w:val="%1."/>
      <w:lvlJc w:val="left"/>
      <w:pPr>
        <w:tabs>
          <w:tab w:val="left" w:pos="425"/>
        </w:tabs>
        <w:ind w:left="425" w:hanging="425"/>
      </w:pPr>
      <w:rPr>
        <w:rFonts w:hint="eastAsia"/>
      </w:rPr>
    </w:lvl>
    <w:lvl w:ilvl="1" w:tentative="0">
      <w:start w:val="1"/>
      <w:numFmt w:val="decimal"/>
      <w:lvlText w:val="%1.%2."/>
      <w:lvlJc w:val="left"/>
      <w:pPr>
        <w:tabs>
          <w:tab w:val="left" w:pos="747"/>
        </w:tabs>
        <w:ind w:left="74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7">
    <w:nsid w:val="00000007"/>
    <w:multiLevelType w:val="singleLevel"/>
    <w:tmpl w:val="00000007"/>
    <w:lvl w:ilvl="0" w:tentative="0">
      <w:start w:val="1"/>
      <w:numFmt w:val="bullet"/>
      <w:pStyle w:val="133"/>
      <w:lvlText w:val=""/>
      <w:lvlJc w:val="left"/>
      <w:pPr>
        <w:tabs>
          <w:tab w:val="left" w:pos="780"/>
        </w:tabs>
        <w:ind w:left="780" w:hanging="360"/>
      </w:pPr>
      <w:rPr>
        <w:rFonts w:hint="default" w:ascii="Wingdings" w:hAnsi="Wingdings"/>
      </w:rPr>
    </w:lvl>
  </w:abstractNum>
  <w:abstractNum w:abstractNumId="8">
    <w:nsid w:val="00000008"/>
    <w:multiLevelType w:val="multilevel"/>
    <w:tmpl w:val="00000008"/>
    <w:lvl w:ilvl="0" w:tentative="0">
      <w:start w:val="1"/>
      <w:numFmt w:val="bullet"/>
      <w:pStyle w:val="169"/>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9">
    <w:nsid w:val="00000009"/>
    <w:multiLevelType w:val="multilevel"/>
    <w:tmpl w:val="00000009"/>
    <w:lvl w:ilvl="0" w:tentative="0">
      <w:start w:val="1"/>
      <w:numFmt w:val="decimal"/>
      <w:pStyle w:val="177"/>
      <w:lvlText w:val="(%1)"/>
      <w:lvlJc w:val="left"/>
      <w:pPr>
        <w:tabs>
          <w:tab w:val="left" w:pos="397"/>
        </w:tabs>
        <w:ind w:left="397" w:hanging="397"/>
      </w:pPr>
      <w:rPr>
        <w:rFonts w:hint="default" w:ascii="Arial" w:hAnsi="Arial" w:eastAsia="宋体"/>
        <w:b w:val="0"/>
        <w:i w:val="0"/>
        <w:color w:val="auto"/>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0000000A"/>
    <w:multiLevelType w:val="singleLevel"/>
    <w:tmpl w:val="0000000A"/>
    <w:lvl w:ilvl="0" w:tentative="0">
      <w:start w:val="1"/>
      <w:numFmt w:val="bullet"/>
      <w:pStyle w:val="168"/>
      <w:lvlText w:val=""/>
      <w:lvlJc w:val="left"/>
      <w:pPr>
        <w:tabs>
          <w:tab w:val="left" w:pos="360"/>
        </w:tabs>
        <w:ind w:left="360" w:hanging="360"/>
      </w:pPr>
      <w:rPr>
        <w:rFonts w:hint="default" w:ascii="Wingdings" w:hAnsi="Wingdings"/>
      </w:rPr>
    </w:lvl>
  </w:abstractNum>
  <w:abstractNum w:abstractNumId="11">
    <w:nsid w:val="0000000B"/>
    <w:multiLevelType w:val="singleLevel"/>
    <w:tmpl w:val="0000000B"/>
    <w:lvl w:ilvl="0" w:tentative="0">
      <w:start w:val="1"/>
      <w:numFmt w:val="bullet"/>
      <w:pStyle w:val="28"/>
      <w:lvlText w:val=""/>
      <w:lvlJc w:val="left"/>
      <w:pPr>
        <w:tabs>
          <w:tab w:val="left" w:pos="1200"/>
        </w:tabs>
        <w:ind w:left="1200" w:hanging="360"/>
      </w:pPr>
      <w:rPr>
        <w:rFonts w:hint="default" w:ascii="Wingdings" w:hAnsi="Wingdings"/>
      </w:rPr>
    </w:lvl>
  </w:abstractNum>
  <w:abstractNum w:abstractNumId="12">
    <w:nsid w:val="0000000C"/>
    <w:multiLevelType w:val="singleLevel"/>
    <w:tmpl w:val="0000000C"/>
    <w:lvl w:ilvl="0" w:tentative="0">
      <w:start w:val="1"/>
      <w:numFmt w:val="decimal"/>
      <w:pStyle w:val="216"/>
      <w:lvlText w:val="%1)"/>
      <w:lvlJc w:val="left"/>
      <w:pPr>
        <w:tabs>
          <w:tab w:val="left" w:pos="425"/>
        </w:tabs>
        <w:ind w:left="425" w:hanging="425"/>
      </w:pPr>
      <w:rPr>
        <w:rFonts w:hint="eastAsia"/>
      </w:rPr>
    </w:lvl>
  </w:abstractNum>
  <w:abstractNum w:abstractNumId="13">
    <w:nsid w:val="0000000D"/>
    <w:multiLevelType w:val="multilevel"/>
    <w:tmpl w:val="0000000D"/>
    <w:lvl w:ilvl="0" w:tentative="0">
      <w:start w:val="1"/>
      <w:numFmt w:val="decimal"/>
      <w:pStyle w:val="225"/>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0000000E"/>
    <w:multiLevelType w:val="multilevel"/>
    <w:tmpl w:val="0000000E"/>
    <w:lvl w:ilvl="0" w:tentative="0">
      <w:start w:val="1"/>
      <w:numFmt w:val="chineseCountingThousand"/>
      <w:pStyle w:val="162"/>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0000000F"/>
    <w:multiLevelType w:val="singleLevel"/>
    <w:tmpl w:val="0000000F"/>
    <w:lvl w:ilvl="0" w:tentative="0">
      <w:start w:val="1"/>
      <w:numFmt w:val="chineseCounting"/>
      <w:pStyle w:val="5"/>
      <w:suff w:val="nothing"/>
      <w:lvlText w:val="%1、"/>
      <w:lvlJc w:val="left"/>
      <w:rPr>
        <w:rFonts w:hint="eastAsia" w:ascii="方正黑体_GBK" w:eastAsia="方正黑体_GBK"/>
      </w:rPr>
    </w:lvl>
  </w:abstractNum>
  <w:abstractNum w:abstractNumId="16">
    <w:nsid w:val="3EB14310"/>
    <w:multiLevelType w:val="singleLevel"/>
    <w:tmpl w:val="3EB14310"/>
    <w:lvl w:ilvl="0" w:tentative="0">
      <w:start w:val="2"/>
      <w:numFmt w:val="chineseCounting"/>
      <w:suff w:val="nothing"/>
      <w:lvlText w:val="%1、"/>
      <w:lvlJc w:val="left"/>
      <w:rPr>
        <w:rFonts w:hint="eastAsia"/>
      </w:rPr>
    </w:lvl>
  </w:abstractNum>
  <w:num w:numId="1">
    <w:abstractNumId w:val="15"/>
  </w:num>
  <w:num w:numId="2">
    <w:abstractNumId w:val="4"/>
  </w:num>
  <w:num w:numId="3">
    <w:abstractNumId w:val="1"/>
  </w:num>
  <w:num w:numId="4">
    <w:abstractNumId w:val="2"/>
  </w:num>
  <w:num w:numId="5">
    <w:abstractNumId w:val="11"/>
  </w:num>
  <w:num w:numId="6">
    <w:abstractNumId w:val="7"/>
  </w:num>
  <w:num w:numId="7">
    <w:abstractNumId w:val="5"/>
  </w:num>
  <w:num w:numId="8">
    <w:abstractNumId w:val="6"/>
  </w:num>
  <w:num w:numId="9">
    <w:abstractNumId w:val="14"/>
  </w:num>
  <w:num w:numId="10">
    <w:abstractNumId w:val="3"/>
  </w:num>
  <w:num w:numId="11">
    <w:abstractNumId w:val="10"/>
  </w:num>
  <w:num w:numId="12">
    <w:abstractNumId w:val="8"/>
  </w:num>
  <w:num w:numId="13">
    <w:abstractNumId w:val="9"/>
  </w:num>
  <w:num w:numId="14">
    <w:abstractNumId w:val="12"/>
  </w:num>
  <w:num w:numId="15">
    <w:abstractNumId w:val="13"/>
  </w:num>
  <w:num w:numId="16">
    <w:abstractNumId w:val="1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jODc5MWQ4YmY4ODljY2UzMTRlNzMxZmYzZDg4ZGYifQ=="/>
  </w:docVars>
  <w:rsids>
    <w:rsidRoot w:val="00E448F6"/>
    <w:rsid w:val="000816A0"/>
    <w:rsid w:val="000A1E23"/>
    <w:rsid w:val="000B4496"/>
    <w:rsid w:val="001A37AE"/>
    <w:rsid w:val="001D5FB4"/>
    <w:rsid w:val="00230DF6"/>
    <w:rsid w:val="0026108D"/>
    <w:rsid w:val="003960A5"/>
    <w:rsid w:val="00415116"/>
    <w:rsid w:val="00442B1A"/>
    <w:rsid w:val="004E52A4"/>
    <w:rsid w:val="00527FD0"/>
    <w:rsid w:val="005A5A95"/>
    <w:rsid w:val="005E5A3A"/>
    <w:rsid w:val="00610EC6"/>
    <w:rsid w:val="00715412"/>
    <w:rsid w:val="00B17872"/>
    <w:rsid w:val="00CA356D"/>
    <w:rsid w:val="00E448F6"/>
    <w:rsid w:val="00E53178"/>
    <w:rsid w:val="00ED435C"/>
    <w:rsid w:val="00F648C3"/>
    <w:rsid w:val="012D2227"/>
    <w:rsid w:val="013E61E2"/>
    <w:rsid w:val="018169EB"/>
    <w:rsid w:val="023C35FE"/>
    <w:rsid w:val="02555C6D"/>
    <w:rsid w:val="02777BFD"/>
    <w:rsid w:val="02987B74"/>
    <w:rsid w:val="02F81BDC"/>
    <w:rsid w:val="03107E03"/>
    <w:rsid w:val="036A7762"/>
    <w:rsid w:val="043D36FD"/>
    <w:rsid w:val="049030C6"/>
    <w:rsid w:val="04A17F99"/>
    <w:rsid w:val="04AE2542"/>
    <w:rsid w:val="04D10023"/>
    <w:rsid w:val="04DD5D12"/>
    <w:rsid w:val="05B41405"/>
    <w:rsid w:val="05E23BDD"/>
    <w:rsid w:val="05E40359"/>
    <w:rsid w:val="06295921"/>
    <w:rsid w:val="06B76F5A"/>
    <w:rsid w:val="06F1685A"/>
    <w:rsid w:val="07A30787"/>
    <w:rsid w:val="08872B64"/>
    <w:rsid w:val="08A55595"/>
    <w:rsid w:val="08B576D2"/>
    <w:rsid w:val="08FC4719"/>
    <w:rsid w:val="08FD1B2B"/>
    <w:rsid w:val="0A742A03"/>
    <w:rsid w:val="0B270AEA"/>
    <w:rsid w:val="0B507DED"/>
    <w:rsid w:val="0B5118BA"/>
    <w:rsid w:val="0B554854"/>
    <w:rsid w:val="0B9362F3"/>
    <w:rsid w:val="0C2D2B60"/>
    <w:rsid w:val="0CBC08D9"/>
    <w:rsid w:val="0CD7285C"/>
    <w:rsid w:val="0CFD4DD5"/>
    <w:rsid w:val="0D084B45"/>
    <w:rsid w:val="0D1440E6"/>
    <w:rsid w:val="0D2512B6"/>
    <w:rsid w:val="0F680C0A"/>
    <w:rsid w:val="0FBF6BD6"/>
    <w:rsid w:val="0FEC413D"/>
    <w:rsid w:val="0FF6382B"/>
    <w:rsid w:val="103C14CB"/>
    <w:rsid w:val="106D56C5"/>
    <w:rsid w:val="10871026"/>
    <w:rsid w:val="10B65D95"/>
    <w:rsid w:val="10EE6030"/>
    <w:rsid w:val="113D6C89"/>
    <w:rsid w:val="11790D5B"/>
    <w:rsid w:val="11936C66"/>
    <w:rsid w:val="11B40E42"/>
    <w:rsid w:val="12154D3D"/>
    <w:rsid w:val="128A77BE"/>
    <w:rsid w:val="128B1CD8"/>
    <w:rsid w:val="12C7072D"/>
    <w:rsid w:val="13B4523F"/>
    <w:rsid w:val="147A1A88"/>
    <w:rsid w:val="14C227AD"/>
    <w:rsid w:val="159A4FC7"/>
    <w:rsid w:val="15B61F10"/>
    <w:rsid w:val="16077093"/>
    <w:rsid w:val="16775464"/>
    <w:rsid w:val="16927D9B"/>
    <w:rsid w:val="17B374D2"/>
    <w:rsid w:val="182A4234"/>
    <w:rsid w:val="18F953B8"/>
    <w:rsid w:val="18FF47B3"/>
    <w:rsid w:val="190A1503"/>
    <w:rsid w:val="193208CA"/>
    <w:rsid w:val="19FA01DC"/>
    <w:rsid w:val="1A174C76"/>
    <w:rsid w:val="1A515AD2"/>
    <w:rsid w:val="1AA30C8C"/>
    <w:rsid w:val="1B451F52"/>
    <w:rsid w:val="1B520DB0"/>
    <w:rsid w:val="1B6120ED"/>
    <w:rsid w:val="1B7674CB"/>
    <w:rsid w:val="1B77374A"/>
    <w:rsid w:val="1C0B7E01"/>
    <w:rsid w:val="1C404A82"/>
    <w:rsid w:val="1C693AE2"/>
    <w:rsid w:val="1C8812E8"/>
    <w:rsid w:val="1CDE7F27"/>
    <w:rsid w:val="1D006A40"/>
    <w:rsid w:val="1D72517A"/>
    <w:rsid w:val="1DA87390"/>
    <w:rsid w:val="1DD0124D"/>
    <w:rsid w:val="1E164517"/>
    <w:rsid w:val="1E6D1634"/>
    <w:rsid w:val="1E7246FC"/>
    <w:rsid w:val="1E987BFA"/>
    <w:rsid w:val="1F203B5C"/>
    <w:rsid w:val="1F53594F"/>
    <w:rsid w:val="1F7C1C3A"/>
    <w:rsid w:val="1FA85442"/>
    <w:rsid w:val="1FB12B7B"/>
    <w:rsid w:val="1FB7220A"/>
    <w:rsid w:val="1FBF453A"/>
    <w:rsid w:val="1FC32124"/>
    <w:rsid w:val="201605FE"/>
    <w:rsid w:val="20336B1C"/>
    <w:rsid w:val="20754975"/>
    <w:rsid w:val="20934742"/>
    <w:rsid w:val="21436EF8"/>
    <w:rsid w:val="21964095"/>
    <w:rsid w:val="21EB29A2"/>
    <w:rsid w:val="220E51D3"/>
    <w:rsid w:val="22573150"/>
    <w:rsid w:val="22625D7D"/>
    <w:rsid w:val="24187649"/>
    <w:rsid w:val="246F34B0"/>
    <w:rsid w:val="24D80CEE"/>
    <w:rsid w:val="250D05B7"/>
    <w:rsid w:val="25273D6B"/>
    <w:rsid w:val="25406339"/>
    <w:rsid w:val="257A13FD"/>
    <w:rsid w:val="258B55EA"/>
    <w:rsid w:val="258C4EBE"/>
    <w:rsid w:val="26BC7A25"/>
    <w:rsid w:val="27187E8A"/>
    <w:rsid w:val="27275F62"/>
    <w:rsid w:val="274517C9"/>
    <w:rsid w:val="279278A0"/>
    <w:rsid w:val="27CF7349"/>
    <w:rsid w:val="2848698A"/>
    <w:rsid w:val="28A6600A"/>
    <w:rsid w:val="28FA423F"/>
    <w:rsid w:val="297671DC"/>
    <w:rsid w:val="2A067935"/>
    <w:rsid w:val="2AA77303"/>
    <w:rsid w:val="2B4503D8"/>
    <w:rsid w:val="2B842AF5"/>
    <w:rsid w:val="2BF043F9"/>
    <w:rsid w:val="2C3C3D14"/>
    <w:rsid w:val="2D787D86"/>
    <w:rsid w:val="2D8529CE"/>
    <w:rsid w:val="2DCB13AD"/>
    <w:rsid w:val="2DF80288"/>
    <w:rsid w:val="2EA26F3D"/>
    <w:rsid w:val="2EE45D81"/>
    <w:rsid w:val="2EF7419D"/>
    <w:rsid w:val="30314FE0"/>
    <w:rsid w:val="304C5976"/>
    <w:rsid w:val="30892AC9"/>
    <w:rsid w:val="30EC0CCB"/>
    <w:rsid w:val="30F878AC"/>
    <w:rsid w:val="31DE0D25"/>
    <w:rsid w:val="326B5519"/>
    <w:rsid w:val="32806966"/>
    <w:rsid w:val="32E26F70"/>
    <w:rsid w:val="32FE389F"/>
    <w:rsid w:val="33312FC4"/>
    <w:rsid w:val="334F3707"/>
    <w:rsid w:val="338D3BB2"/>
    <w:rsid w:val="339935C8"/>
    <w:rsid w:val="33BC6C7D"/>
    <w:rsid w:val="33F02472"/>
    <w:rsid w:val="342B7EC6"/>
    <w:rsid w:val="342C61EA"/>
    <w:rsid w:val="352C5D76"/>
    <w:rsid w:val="356B3BE9"/>
    <w:rsid w:val="356F6516"/>
    <w:rsid w:val="35783F99"/>
    <w:rsid w:val="358E06D5"/>
    <w:rsid w:val="35BA7826"/>
    <w:rsid w:val="367E6AA5"/>
    <w:rsid w:val="37554894"/>
    <w:rsid w:val="377409CC"/>
    <w:rsid w:val="37873738"/>
    <w:rsid w:val="37CC393A"/>
    <w:rsid w:val="3876277B"/>
    <w:rsid w:val="38F92413"/>
    <w:rsid w:val="390E19B5"/>
    <w:rsid w:val="392C0A3B"/>
    <w:rsid w:val="39655A78"/>
    <w:rsid w:val="39736669"/>
    <w:rsid w:val="3A064EAA"/>
    <w:rsid w:val="3A18773C"/>
    <w:rsid w:val="3A3E7A83"/>
    <w:rsid w:val="3A7C4FBC"/>
    <w:rsid w:val="3C40376A"/>
    <w:rsid w:val="3CC7280E"/>
    <w:rsid w:val="3D0D46DF"/>
    <w:rsid w:val="3D5D52E5"/>
    <w:rsid w:val="3DFD26B4"/>
    <w:rsid w:val="3E0D29ED"/>
    <w:rsid w:val="3E46721D"/>
    <w:rsid w:val="3EB275B0"/>
    <w:rsid w:val="3F00051C"/>
    <w:rsid w:val="3F15211D"/>
    <w:rsid w:val="3F177E36"/>
    <w:rsid w:val="3F300D14"/>
    <w:rsid w:val="3FEB03AD"/>
    <w:rsid w:val="40E124A7"/>
    <w:rsid w:val="414A765D"/>
    <w:rsid w:val="41C041EE"/>
    <w:rsid w:val="422F3D3C"/>
    <w:rsid w:val="4339305C"/>
    <w:rsid w:val="439E48AD"/>
    <w:rsid w:val="43DC6A92"/>
    <w:rsid w:val="446472DA"/>
    <w:rsid w:val="447A4241"/>
    <w:rsid w:val="44817E8C"/>
    <w:rsid w:val="45796927"/>
    <w:rsid w:val="458524D5"/>
    <w:rsid w:val="45B4185E"/>
    <w:rsid w:val="46853C85"/>
    <w:rsid w:val="475D6979"/>
    <w:rsid w:val="47D1376D"/>
    <w:rsid w:val="48027AFA"/>
    <w:rsid w:val="48AC2377"/>
    <w:rsid w:val="499A5CF7"/>
    <w:rsid w:val="49A6025D"/>
    <w:rsid w:val="49E04189"/>
    <w:rsid w:val="4A392FB7"/>
    <w:rsid w:val="4A9220C8"/>
    <w:rsid w:val="4A9C3A16"/>
    <w:rsid w:val="4A9D70A2"/>
    <w:rsid w:val="4AC76815"/>
    <w:rsid w:val="4AF7496D"/>
    <w:rsid w:val="4B4700C3"/>
    <w:rsid w:val="4BAE66CB"/>
    <w:rsid w:val="4C363892"/>
    <w:rsid w:val="4C4905C7"/>
    <w:rsid w:val="4C8F0947"/>
    <w:rsid w:val="4D710BC6"/>
    <w:rsid w:val="4D824AF5"/>
    <w:rsid w:val="4DF96CE5"/>
    <w:rsid w:val="4E5F7BF0"/>
    <w:rsid w:val="4E7D0140"/>
    <w:rsid w:val="4E9573E5"/>
    <w:rsid w:val="4EF31987"/>
    <w:rsid w:val="4F0566F3"/>
    <w:rsid w:val="4F6273C0"/>
    <w:rsid w:val="508B44F9"/>
    <w:rsid w:val="50A3118B"/>
    <w:rsid w:val="50C86E43"/>
    <w:rsid w:val="50CD4459"/>
    <w:rsid w:val="51035853"/>
    <w:rsid w:val="52007CE1"/>
    <w:rsid w:val="52D03D8D"/>
    <w:rsid w:val="53991B86"/>
    <w:rsid w:val="53AE0572"/>
    <w:rsid w:val="53E72189"/>
    <w:rsid w:val="53F82117"/>
    <w:rsid w:val="53FA016C"/>
    <w:rsid w:val="546B0211"/>
    <w:rsid w:val="54731328"/>
    <w:rsid w:val="547E04D4"/>
    <w:rsid w:val="568A2DC4"/>
    <w:rsid w:val="56A14CB7"/>
    <w:rsid w:val="56CE4866"/>
    <w:rsid w:val="5728107F"/>
    <w:rsid w:val="57B7680D"/>
    <w:rsid w:val="598D697A"/>
    <w:rsid w:val="59BE7C04"/>
    <w:rsid w:val="5A1F7E35"/>
    <w:rsid w:val="5A5017CA"/>
    <w:rsid w:val="5A8918CD"/>
    <w:rsid w:val="5E6230CD"/>
    <w:rsid w:val="5E6C3504"/>
    <w:rsid w:val="5E761F1B"/>
    <w:rsid w:val="5EB520A0"/>
    <w:rsid w:val="5ED15115"/>
    <w:rsid w:val="5EEA6DB3"/>
    <w:rsid w:val="5EF84D97"/>
    <w:rsid w:val="5F1733A7"/>
    <w:rsid w:val="5FD30251"/>
    <w:rsid w:val="6071407C"/>
    <w:rsid w:val="607E307A"/>
    <w:rsid w:val="60B115FD"/>
    <w:rsid w:val="60BA0556"/>
    <w:rsid w:val="62BB36B8"/>
    <w:rsid w:val="632B4016"/>
    <w:rsid w:val="635F3637"/>
    <w:rsid w:val="63D56FFD"/>
    <w:rsid w:val="643B229B"/>
    <w:rsid w:val="64CF3058"/>
    <w:rsid w:val="657D45EA"/>
    <w:rsid w:val="65C045C4"/>
    <w:rsid w:val="66810F6F"/>
    <w:rsid w:val="66BD7C37"/>
    <w:rsid w:val="670F3CD5"/>
    <w:rsid w:val="67237D09"/>
    <w:rsid w:val="683B74A5"/>
    <w:rsid w:val="68520577"/>
    <w:rsid w:val="692C5A97"/>
    <w:rsid w:val="69434854"/>
    <w:rsid w:val="69E953D8"/>
    <w:rsid w:val="6A1521B5"/>
    <w:rsid w:val="6A40192C"/>
    <w:rsid w:val="6A4C5F97"/>
    <w:rsid w:val="6B3B4599"/>
    <w:rsid w:val="6C5E5AB6"/>
    <w:rsid w:val="6C6C725D"/>
    <w:rsid w:val="6CFD6CF2"/>
    <w:rsid w:val="6D125276"/>
    <w:rsid w:val="6D856EDE"/>
    <w:rsid w:val="6DC74A88"/>
    <w:rsid w:val="6DF201CA"/>
    <w:rsid w:val="6E435213"/>
    <w:rsid w:val="6E5F1E3E"/>
    <w:rsid w:val="6E7116EB"/>
    <w:rsid w:val="6F3B3EB5"/>
    <w:rsid w:val="6F7B1AEF"/>
    <w:rsid w:val="6FAD572A"/>
    <w:rsid w:val="700F57D4"/>
    <w:rsid w:val="70191889"/>
    <w:rsid w:val="70911841"/>
    <w:rsid w:val="71A46B79"/>
    <w:rsid w:val="71DC5E53"/>
    <w:rsid w:val="7257098D"/>
    <w:rsid w:val="72726AD9"/>
    <w:rsid w:val="72A20E4A"/>
    <w:rsid w:val="73F620AB"/>
    <w:rsid w:val="74AE06FF"/>
    <w:rsid w:val="74C74B9E"/>
    <w:rsid w:val="75082B54"/>
    <w:rsid w:val="755056DA"/>
    <w:rsid w:val="75B514D0"/>
    <w:rsid w:val="75C1723A"/>
    <w:rsid w:val="760505A0"/>
    <w:rsid w:val="764913ED"/>
    <w:rsid w:val="7688562D"/>
    <w:rsid w:val="76896234"/>
    <w:rsid w:val="77C02A1F"/>
    <w:rsid w:val="78D679B2"/>
    <w:rsid w:val="78DD498A"/>
    <w:rsid w:val="78F706C7"/>
    <w:rsid w:val="792504D4"/>
    <w:rsid w:val="797177C8"/>
    <w:rsid w:val="7A384A46"/>
    <w:rsid w:val="7A6A4DDA"/>
    <w:rsid w:val="7A6D2CD2"/>
    <w:rsid w:val="7AD8748F"/>
    <w:rsid w:val="7AEB7068"/>
    <w:rsid w:val="7B3F5DCD"/>
    <w:rsid w:val="7BC74C73"/>
    <w:rsid w:val="7BDE10E2"/>
    <w:rsid w:val="7BFD2CA6"/>
    <w:rsid w:val="7C395948"/>
    <w:rsid w:val="7C557FC0"/>
    <w:rsid w:val="7C70767F"/>
    <w:rsid w:val="7C8276E1"/>
    <w:rsid w:val="7C84479C"/>
    <w:rsid w:val="7CCA27C9"/>
    <w:rsid w:val="7CCC3693"/>
    <w:rsid w:val="7D1F2BD5"/>
    <w:rsid w:val="7E5B702C"/>
    <w:rsid w:val="7E773A6A"/>
    <w:rsid w:val="7EDB3059"/>
    <w:rsid w:val="7F244C51"/>
    <w:rsid w:val="7F517E80"/>
    <w:rsid w:val="7F5B07F1"/>
    <w:rsid w:val="7F652160"/>
    <w:rsid w:val="7FB1091F"/>
    <w:rsid w:val="7FCC64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Times New Roman" w:eastAsia="宋体" w:cs="Times New Roman"/>
      <w:sz w:val="34"/>
      <w:lang w:val="en-US" w:eastAsia="zh-CN" w:bidi="ar-SA"/>
    </w:rPr>
  </w:style>
  <w:style w:type="paragraph" w:styleId="2">
    <w:name w:val="heading 1"/>
    <w:basedOn w:val="1"/>
    <w:next w:val="1"/>
    <w:link w:val="68"/>
    <w:qFormat/>
    <w:uiPriority w:val="0"/>
    <w:pPr>
      <w:keepNext/>
      <w:keepLines/>
      <w:jc w:val="center"/>
      <w:outlineLvl w:val="0"/>
    </w:pPr>
    <w:rPr>
      <w:rFonts w:ascii="Times New Roman" w:eastAsia="仿宋"/>
      <w:b/>
      <w:bCs/>
      <w:kern w:val="44"/>
      <w:sz w:val="44"/>
      <w:szCs w:val="44"/>
    </w:rPr>
  </w:style>
  <w:style w:type="paragraph" w:styleId="3">
    <w:name w:val="heading 2"/>
    <w:basedOn w:val="1"/>
    <w:next w:val="1"/>
    <w:link w:val="69"/>
    <w:qFormat/>
    <w:uiPriority w:val="0"/>
    <w:pPr>
      <w:keepNext/>
      <w:keepLines/>
      <w:jc w:val="left"/>
      <w:outlineLvl w:val="1"/>
    </w:pPr>
    <w:rPr>
      <w:rFonts w:ascii="Arial" w:hAnsi="Arial"/>
      <w:bCs/>
      <w:kern w:val="2"/>
      <w:sz w:val="28"/>
      <w:szCs w:val="32"/>
    </w:rPr>
  </w:style>
  <w:style w:type="paragraph" w:styleId="4">
    <w:name w:val="heading 3"/>
    <w:basedOn w:val="1"/>
    <w:next w:val="1"/>
    <w:link w:val="70"/>
    <w:qFormat/>
    <w:uiPriority w:val="0"/>
    <w:pPr>
      <w:keepNext/>
      <w:keepLines/>
      <w:spacing w:before="260" w:after="260" w:line="416" w:lineRule="auto"/>
      <w:outlineLvl w:val="2"/>
    </w:pPr>
    <w:rPr>
      <w:rFonts w:ascii="Times New Roman"/>
      <w:b/>
      <w:bCs/>
      <w:kern w:val="2"/>
      <w:sz w:val="32"/>
      <w:szCs w:val="32"/>
    </w:rPr>
  </w:style>
  <w:style w:type="paragraph" w:styleId="5">
    <w:name w:val="heading 4"/>
    <w:basedOn w:val="1"/>
    <w:next w:val="1"/>
    <w:link w:val="71"/>
    <w:qFormat/>
    <w:uiPriority w:val="0"/>
    <w:pPr>
      <w:keepNext/>
      <w:keepLines/>
      <w:numPr>
        <w:ilvl w:val="0"/>
        <w:numId w:val="1"/>
      </w:numPr>
      <w:tabs>
        <w:tab w:val="left" w:pos="720"/>
      </w:tabs>
      <w:spacing w:before="560" w:after="290" w:line="377" w:lineRule="auto"/>
      <w:outlineLvl w:val="3"/>
    </w:pPr>
    <w:rPr>
      <w:rFonts w:ascii="Arial" w:hAnsi="Arial" w:eastAsia="黑体"/>
      <w:b/>
      <w:kern w:val="2"/>
      <w:sz w:val="28"/>
    </w:rPr>
  </w:style>
  <w:style w:type="paragraph" w:styleId="6">
    <w:name w:val="heading 5"/>
    <w:basedOn w:val="1"/>
    <w:next w:val="1"/>
    <w:link w:val="72"/>
    <w:qFormat/>
    <w:uiPriority w:val="0"/>
    <w:pPr>
      <w:keepNext/>
      <w:keepLines/>
      <w:tabs>
        <w:tab w:val="left" w:pos="2551"/>
      </w:tabs>
      <w:spacing w:before="280" w:after="290" w:line="372" w:lineRule="auto"/>
      <w:ind w:left="2551" w:hanging="850"/>
      <w:outlineLvl w:val="4"/>
    </w:pPr>
    <w:rPr>
      <w:rFonts w:ascii="Times New Roman"/>
      <w:b/>
      <w:kern w:val="2"/>
      <w:sz w:val="28"/>
    </w:rPr>
  </w:style>
  <w:style w:type="paragraph" w:styleId="7">
    <w:name w:val="heading 6"/>
    <w:basedOn w:val="1"/>
    <w:next w:val="1"/>
    <w:link w:val="73"/>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kern w:val="2"/>
      <w:sz w:val="24"/>
    </w:rPr>
  </w:style>
  <w:style w:type="paragraph" w:styleId="8">
    <w:name w:val="heading 7"/>
    <w:basedOn w:val="1"/>
    <w:next w:val="1"/>
    <w:link w:val="74"/>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kern w:val="2"/>
      <w:sz w:val="24"/>
    </w:rPr>
  </w:style>
  <w:style w:type="paragraph" w:styleId="9">
    <w:name w:val="heading 8"/>
    <w:basedOn w:val="1"/>
    <w:next w:val="1"/>
    <w:link w:val="75"/>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kern w:val="2"/>
      <w:sz w:val="24"/>
    </w:rPr>
  </w:style>
  <w:style w:type="paragraph" w:styleId="10">
    <w:name w:val="heading 9"/>
    <w:basedOn w:val="1"/>
    <w:next w:val="1"/>
    <w:link w:val="76"/>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kern w:val="2"/>
      <w:sz w:val="24"/>
    </w:rPr>
  </w:style>
  <w:style w:type="character" w:default="1" w:styleId="59">
    <w:name w:val="Default Paragraph Font"/>
    <w:unhideWhenUsed/>
    <w:qFormat/>
    <w:uiPriority w:val="1"/>
  </w:style>
  <w:style w:type="table" w:default="1" w:styleId="57">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rFonts w:ascii="Times New Roman"/>
      <w:kern w:val="2"/>
      <w:sz w:val="24"/>
    </w:rPr>
  </w:style>
  <w:style w:type="paragraph" w:styleId="12">
    <w:name w:val="toc 7"/>
    <w:basedOn w:val="1"/>
    <w:next w:val="1"/>
    <w:qFormat/>
    <w:uiPriority w:val="0"/>
    <w:pPr>
      <w:ind w:left="2520" w:leftChars="1200"/>
    </w:pPr>
    <w:rPr>
      <w:rFonts w:ascii="Times New Roman"/>
      <w:kern w:val="2"/>
      <w:sz w:val="28"/>
    </w:rPr>
  </w:style>
  <w:style w:type="paragraph" w:styleId="13">
    <w:name w:val="List Number 2"/>
    <w:basedOn w:val="1"/>
    <w:qFormat/>
    <w:uiPriority w:val="0"/>
    <w:pPr>
      <w:numPr>
        <w:ilvl w:val="0"/>
        <w:numId w:val="2"/>
      </w:numPr>
      <w:tabs>
        <w:tab w:val="left" w:pos="780"/>
      </w:tabs>
      <w:spacing w:line="360" w:lineRule="auto"/>
    </w:pPr>
    <w:rPr>
      <w:rFonts w:ascii="Times New Roman"/>
      <w:kern w:val="2"/>
      <w:sz w:val="24"/>
    </w:rPr>
  </w:style>
  <w:style w:type="paragraph" w:styleId="14">
    <w:name w:val="List Bullet 4"/>
    <w:basedOn w:val="1"/>
    <w:qFormat/>
    <w:uiPriority w:val="0"/>
    <w:pPr>
      <w:widowControl/>
      <w:numPr>
        <w:ilvl w:val="0"/>
        <w:numId w:val="3"/>
      </w:numPr>
      <w:tabs>
        <w:tab w:val="left" w:pos="1134"/>
      </w:tabs>
      <w:adjustRightInd w:val="0"/>
      <w:snapToGrid w:val="0"/>
      <w:spacing w:before="120" w:line="280" w:lineRule="atLeast"/>
      <w:ind w:left="1418" w:hanging="284"/>
      <w:jc w:val="left"/>
    </w:pPr>
    <w:rPr>
      <w:sz w:val="22"/>
    </w:rPr>
  </w:style>
  <w:style w:type="paragraph" w:styleId="15">
    <w:name w:val="Normal Indent"/>
    <w:basedOn w:val="1"/>
    <w:qFormat/>
    <w:uiPriority w:val="0"/>
    <w:pPr>
      <w:adjustRightInd w:val="0"/>
      <w:snapToGrid w:val="0"/>
      <w:spacing w:line="360" w:lineRule="auto"/>
      <w:ind w:firstLine="420"/>
    </w:pPr>
    <w:rPr>
      <w:rFonts w:ascii="Times New Roman"/>
      <w:kern w:val="2"/>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ascii="Times New Roman" w:eastAsia="PMingLiU"/>
      <w:b/>
      <w:sz w:val="24"/>
      <w:lang w:eastAsia="zh-TW"/>
    </w:rPr>
  </w:style>
  <w:style w:type="paragraph" w:styleId="17">
    <w:name w:val="Document Map"/>
    <w:basedOn w:val="1"/>
    <w:link w:val="88"/>
    <w:qFormat/>
    <w:uiPriority w:val="0"/>
    <w:pPr>
      <w:shd w:val="clear" w:color="auto" w:fill="000080"/>
    </w:pPr>
    <w:rPr>
      <w:rFonts w:ascii="Times New Roman"/>
      <w:kern w:val="2"/>
      <w:sz w:val="28"/>
    </w:rPr>
  </w:style>
  <w:style w:type="paragraph" w:styleId="18">
    <w:name w:val="toa heading"/>
    <w:basedOn w:val="1"/>
    <w:next w:val="1"/>
    <w:qFormat/>
    <w:uiPriority w:val="0"/>
    <w:pPr>
      <w:spacing w:before="120"/>
    </w:pPr>
    <w:rPr>
      <w:rFonts w:ascii="Arial" w:hAnsi="Arial"/>
      <w:kern w:val="2"/>
      <w:sz w:val="24"/>
    </w:rPr>
  </w:style>
  <w:style w:type="paragraph" w:styleId="19">
    <w:name w:val="annotation text"/>
    <w:basedOn w:val="1"/>
    <w:link w:val="77"/>
    <w:qFormat/>
    <w:uiPriority w:val="0"/>
    <w:pPr>
      <w:jc w:val="left"/>
    </w:pPr>
  </w:style>
  <w:style w:type="paragraph" w:styleId="20">
    <w:name w:val="Body Text 3"/>
    <w:basedOn w:val="1"/>
    <w:link w:val="89"/>
    <w:qFormat/>
    <w:uiPriority w:val="0"/>
    <w:pPr>
      <w:adjustRightInd w:val="0"/>
      <w:snapToGrid w:val="0"/>
      <w:spacing w:after="120" w:line="360" w:lineRule="auto"/>
    </w:pPr>
    <w:rPr>
      <w:rFonts w:ascii="Times New Roman"/>
      <w:kern w:val="2"/>
      <w:sz w:val="16"/>
    </w:rPr>
  </w:style>
  <w:style w:type="paragraph" w:styleId="21">
    <w:name w:val="List Bullet 3"/>
    <w:basedOn w:val="1"/>
    <w:qFormat/>
    <w:uiPriority w:val="0"/>
    <w:pPr>
      <w:numPr>
        <w:ilvl w:val="0"/>
        <w:numId w:val="4"/>
      </w:numPr>
      <w:tabs>
        <w:tab w:val="left" w:pos="1200"/>
      </w:tabs>
      <w:adjustRightInd w:val="0"/>
      <w:snapToGrid w:val="0"/>
      <w:spacing w:line="360" w:lineRule="auto"/>
    </w:pPr>
    <w:rPr>
      <w:rFonts w:ascii="Times New Roman"/>
      <w:kern w:val="2"/>
      <w:sz w:val="24"/>
    </w:rPr>
  </w:style>
  <w:style w:type="paragraph" w:styleId="22">
    <w:name w:val="Body Text"/>
    <w:basedOn w:val="1"/>
    <w:next w:val="23"/>
    <w:link w:val="78"/>
    <w:qFormat/>
    <w:uiPriority w:val="0"/>
    <w:pPr>
      <w:spacing w:after="120"/>
    </w:pPr>
  </w:style>
  <w:style w:type="paragraph" w:styleId="23">
    <w:name w:val="Body Text 2"/>
    <w:basedOn w:val="1"/>
    <w:link w:val="94"/>
    <w:qFormat/>
    <w:uiPriority w:val="0"/>
    <w:pPr>
      <w:adjustRightInd w:val="0"/>
      <w:snapToGrid w:val="0"/>
      <w:spacing w:after="120" w:line="480" w:lineRule="auto"/>
    </w:pPr>
    <w:rPr>
      <w:rFonts w:ascii="Times New Roman"/>
      <w:kern w:val="2"/>
      <w:sz w:val="24"/>
    </w:rPr>
  </w:style>
  <w:style w:type="paragraph" w:styleId="24">
    <w:name w:val="Body Text Indent"/>
    <w:basedOn w:val="1"/>
    <w:next w:val="15"/>
    <w:link w:val="67"/>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rFonts w:ascii="Times New Roman"/>
      <w:kern w:val="2"/>
      <w:sz w:val="24"/>
    </w:rPr>
  </w:style>
  <w:style w:type="paragraph" w:styleId="26">
    <w:name w:val="List 2"/>
    <w:basedOn w:val="1"/>
    <w:qFormat/>
    <w:uiPriority w:val="0"/>
    <w:pPr>
      <w:adjustRightInd w:val="0"/>
      <w:snapToGrid w:val="0"/>
      <w:spacing w:line="360" w:lineRule="auto"/>
      <w:ind w:left="100" w:leftChars="200" w:hanging="200" w:hangingChars="200"/>
    </w:pPr>
    <w:rPr>
      <w:rFonts w:ascii="Times New Roman"/>
      <w:kern w:val="2"/>
      <w:sz w:val="24"/>
    </w:rPr>
  </w:style>
  <w:style w:type="paragraph" w:styleId="27">
    <w:name w:val="List Continue"/>
    <w:basedOn w:val="1"/>
    <w:qFormat/>
    <w:uiPriority w:val="0"/>
    <w:pPr>
      <w:adjustRightInd w:val="0"/>
      <w:snapToGrid w:val="0"/>
      <w:spacing w:after="120" w:line="360" w:lineRule="auto"/>
      <w:ind w:left="420" w:leftChars="200"/>
    </w:pPr>
    <w:rPr>
      <w:rFonts w:ascii="Times New Roman"/>
      <w:kern w:val="2"/>
      <w:sz w:val="24"/>
    </w:rPr>
  </w:style>
  <w:style w:type="paragraph" w:styleId="28">
    <w:name w:val="List Bullet 2"/>
    <w:basedOn w:val="1"/>
    <w:qFormat/>
    <w:uiPriority w:val="0"/>
    <w:pPr>
      <w:numPr>
        <w:ilvl w:val="0"/>
        <w:numId w:val="5"/>
      </w:numPr>
      <w:tabs>
        <w:tab w:val="left" w:pos="780"/>
      </w:tabs>
      <w:adjustRightInd w:val="0"/>
      <w:snapToGrid w:val="0"/>
      <w:spacing w:line="360" w:lineRule="auto"/>
    </w:pPr>
    <w:rPr>
      <w:rFonts w:ascii="Times New Roman"/>
      <w:kern w:val="2"/>
      <w:sz w:val="24"/>
    </w:rPr>
  </w:style>
  <w:style w:type="paragraph" w:styleId="29">
    <w:name w:val="toc 5"/>
    <w:basedOn w:val="1"/>
    <w:next w:val="1"/>
    <w:qFormat/>
    <w:uiPriority w:val="0"/>
    <w:pPr>
      <w:ind w:left="1680" w:leftChars="800"/>
    </w:pPr>
    <w:rPr>
      <w:rFonts w:ascii="Times New Roman"/>
      <w:kern w:val="2"/>
      <w:sz w:val="28"/>
    </w:rPr>
  </w:style>
  <w:style w:type="paragraph" w:styleId="30">
    <w:name w:val="toc 3"/>
    <w:basedOn w:val="1"/>
    <w:next w:val="1"/>
    <w:qFormat/>
    <w:uiPriority w:val="39"/>
    <w:pPr>
      <w:ind w:left="840" w:leftChars="400"/>
    </w:pPr>
  </w:style>
  <w:style w:type="paragraph" w:styleId="31">
    <w:name w:val="Plain Text"/>
    <w:basedOn w:val="1"/>
    <w:link w:val="79"/>
    <w:qFormat/>
    <w:uiPriority w:val="0"/>
    <w:rPr>
      <w:rFonts w:hAnsi="Courier New"/>
      <w:kern w:val="2"/>
      <w:sz w:val="21"/>
      <w:szCs w:val="21"/>
    </w:rPr>
  </w:style>
  <w:style w:type="paragraph" w:styleId="32">
    <w:name w:val="toc 8"/>
    <w:basedOn w:val="1"/>
    <w:next w:val="1"/>
    <w:qFormat/>
    <w:uiPriority w:val="0"/>
    <w:pPr>
      <w:ind w:left="2940" w:leftChars="1400"/>
    </w:pPr>
    <w:rPr>
      <w:rFonts w:ascii="Times New Roman"/>
      <w:kern w:val="2"/>
      <w:sz w:val="28"/>
    </w:rPr>
  </w:style>
  <w:style w:type="paragraph" w:styleId="33">
    <w:name w:val="Date"/>
    <w:basedOn w:val="1"/>
    <w:next w:val="1"/>
    <w:link w:val="80"/>
    <w:qFormat/>
    <w:uiPriority w:val="0"/>
    <w:pPr>
      <w:ind w:left="100" w:leftChars="2500"/>
    </w:pPr>
  </w:style>
  <w:style w:type="paragraph" w:styleId="34">
    <w:name w:val="Body Text Indent 2"/>
    <w:basedOn w:val="1"/>
    <w:link w:val="91"/>
    <w:qFormat/>
    <w:uiPriority w:val="0"/>
    <w:pPr>
      <w:snapToGrid w:val="0"/>
      <w:spacing w:line="440" w:lineRule="atLeast"/>
      <w:ind w:firstLine="570"/>
    </w:pPr>
    <w:rPr>
      <w:kern w:val="2"/>
      <w:sz w:val="28"/>
    </w:rPr>
  </w:style>
  <w:style w:type="paragraph" w:styleId="35">
    <w:name w:val="Balloon Text"/>
    <w:basedOn w:val="1"/>
    <w:link w:val="86"/>
    <w:qFormat/>
    <w:uiPriority w:val="0"/>
    <w:rPr>
      <w:sz w:val="18"/>
      <w:szCs w:val="18"/>
    </w:rPr>
  </w:style>
  <w:style w:type="paragraph" w:styleId="36">
    <w:name w:val="footer"/>
    <w:basedOn w:val="1"/>
    <w:link w:val="81"/>
    <w:qFormat/>
    <w:uiPriority w:val="0"/>
    <w:pPr>
      <w:tabs>
        <w:tab w:val="center" w:pos="4153"/>
        <w:tab w:val="right" w:pos="8306"/>
      </w:tabs>
      <w:snapToGrid w:val="0"/>
      <w:jc w:val="left"/>
    </w:pPr>
    <w:rPr>
      <w:rFonts w:ascii="Times New Roman"/>
      <w:kern w:val="2"/>
      <w:sz w:val="18"/>
      <w:szCs w:val="18"/>
    </w:rPr>
  </w:style>
  <w:style w:type="paragraph" w:styleId="37">
    <w:name w:val="header"/>
    <w:basedOn w:val="1"/>
    <w:link w:val="82"/>
    <w:qFormat/>
    <w:uiPriority w:val="0"/>
    <w:pPr>
      <w:pBdr>
        <w:bottom w:val="single" w:color="auto" w:sz="6" w:space="1"/>
      </w:pBdr>
      <w:tabs>
        <w:tab w:val="center" w:pos="4153"/>
        <w:tab w:val="right" w:pos="8306"/>
      </w:tabs>
      <w:snapToGrid w:val="0"/>
      <w:jc w:val="center"/>
    </w:pPr>
    <w:rPr>
      <w:sz w:val="18"/>
      <w:szCs w:val="18"/>
    </w:rPr>
  </w:style>
  <w:style w:type="paragraph" w:styleId="38">
    <w:name w:val="toc 1"/>
    <w:basedOn w:val="1"/>
    <w:next w:val="1"/>
    <w:qFormat/>
    <w:uiPriority w:val="39"/>
    <w:pPr>
      <w:spacing w:before="120" w:after="120"/>
      <w:jc w:val="left"/>
    </w:pPr>
    <w:rPr>
      <w:b/>
      <w:bCs/>
      <w:caps/>
    </w:rPr>
  </w:style>
  <w:style w:type="paragraph" w:styleId="39">
    <w:name w:val="List Continue 4"/>
    <w:basedOn w:val="1"/>
    <w:qFormat/>
    <w:uiPriority w:val="0"/>
    <w:pPr>
      <w:adjustRightInd w:val="0"/>
      <w:snapToGrid w:val="0"/>
      <w:spacing w:after="120" w:line="360" w:lineRule="auto"/>
      <w:ind w:left="1680" w:leftChars="800"/>
    </w:pPr>
    <w:rPr>
      <w:rFonts w:ascii="Times New Roman"/>
      <w:kern w:val="2"/>
      <w:sz w:val="24"/>
    </w:rPr>
  </w:style>
  <w:style w:type="paragraph" w:styleId="40">
    <w:name w:val="toc 4"/>
    <w:basedOn w:val="1"/>
    <w:next w:val="1"/>
    <w:qFormat/>
    <w:uiPriority w:val="0"/>
    <w:pPr>
      <w:ind w:left="1260" w:leftChars="600"/>
    </w:pPr>
    <w:rPr>
      <w:rFonts w:ascii="Times New Roman"/>
      <w:kern w:val="2"/>
      <w:sz w:val="28"/>
    </w:rPr>
  </w:style>
  <w:style w:type="paragraph" w:styleId="41">
    <w:name w:val="footnote text"/>
    <w:basedOn w:val="1"/>
    <w:link w:val="92"/>
    <w:qFormat/>
    <w:uiPriority w:val="0"/>
    <w:pPr>
      <w:spacing w:line="360" w:lineRule="auto"/>
    </w:pPr>
    <w:rPr>
      <w:rFonts w:ascii="Times New Roman"/>
      <w:kern w:val="2"/>
      <w:sz w:val="18"/>
    </w:rPr>
  </w:style>
  <w:style w:type="paragraph" w:styleId="42">
    <w:name w:val="toc 6"/>
    <w:basedOn w:val="1"/>
    <w:next w:val="1"/>
    <w:qFormat/>
    <w:uiPriority w:val="0"/>
    <w:pPr>
      <w:ind w:left="2100" w:leftChars="1000"/>
    </w:pPr>
    <w:rPr>
      <w:rFonts w:ascii="Times New Roman"/>
      <w:kern w:val="2"/>
      <w:sz w:val="28"/>
    </w:rPr>
  </w:style>
  <w:style w:type="paragraph" w:styleId="43">
    <w:name w:val="List 5"/>
    <w:basedOn w:val="1"/>
    <w:qFormat/>
    <w:uiPriority w:val="0"/>
    <w:pPr>
      <w:adjustRightInd w:val="0"/>
      <w:snapToGrid w:val="0"/>
      <w:spacing w:line="360" w:lineRule="auto"/>
      <w:ind w:left="100" w:leftChars="800" w:hanging="200" w:hangingChars="200"/>
    </w:pPr>
    <w:rPr>
      <w:rFonts w:ascii="Times New Roman"/>
      <w:kern w:val="2"/>
      <w:sz w:val="24"/>
    </w:rPr>
  </w:style>
  <w:style w:type="paragraph" w:styleId="44">
    <w:name w:val="Body Text Indent 3"/>
    <w:basedOn w:val="1"/>
    <w:link w:val="93"/>
    <w:qFormat/>
    <w:uiPriority w:val="0"/>
    <w:pPr>
      <w:spacing w:line="360" w:lineRule="auto"/>
      <w:ind w:firstLine="632"/>
    </w:pPr>
    <w:rPr>
      <w:rFonts w:ascii="黑体" w:eastAsia="黑体"/>
      <w:kern w:val="2"/>
      <w:sz w:val="28"/>
    </w:rPr>
  </w:style>
  <w:style w:type="paragraph" w:styleId="45">
    <w:name w:val="table of figures"/>
    <w:basedOn w:val="1"/>
    <w:next w:val="1"/>
    <w:qFormat/>
    <w:uiPriority w:val="0"/>
    <w:pPr>
      <w:tabs>
        <w:tab w:val="right" w:leader="dot" w:pos="8640"/>
      </w:tabs>
      <w:spacing w:line="360" w:lineRule="auto"/>
      <w:ind w:left="400" w:hanging="400"/>
    </w:pPr>
    <w:rPr>
      <w:rFonts w:ascii="Times New Roman"/>
      <w:kern w:val="2"/>
      <w:sz w:val="24"/>
    </w:rPr>
  </w:style>
  <w:style w:type="paragraph" w:styleId="46">
    <w:name w:val="toc 2"/>
    <w:basedOn w:val="1"/>
    <w:next w:val="1"/>
    <w:qFormat/>
    <w:uiPriority w:val="39"/>
    <w:pPr>
      <w:spacing w:line="312" w:lineRule="auto"/>
      <w:ind w:left="420"/>
      <w:jc w:val="right"/>
    </w:pPr>
    <w:rPr>
      <w:rFonts w:ascii="仿宋_GB2312" w:eastAsia="仿宋_GB2312"/>
      <w:bCs/>
      <w:smallCaps/>
      <w:sz w:val="24"/>
    </w:rPr>
  </w:style>
  <w:style w:type="paragraph" w:styleId="47">
    <w:name w:val="toc 9"/>
    <w:basedOn w:val="1"/>
    <w:next w:val="1"/>
    <w:qFormat/>
    <w:uiPriority w:val="0"/>
    <w:pPr>
      <w:ind w:left="3360" w:leftChars="1600"/>
    </w:pPr>
    <w:rPr>
      <w:rFonts w:ascii="Times New Roman"/>
      <w:kern w:val="2"/>
      <w:sz w:val="28"/>
    </w:rPr>
  </w:style>
  <w:style w:type="paragraph" w:styleId="48">
    <w:name w:val="List 4"/>
    <w:basedOn w:val="1"/>
    <w:qFormat/>
    <w:uiPriority w:val="0"/>
    <w:pPr>
      <w:adjustRightInd w:val="0"/>
      <w:snapToGrid w:val="0"/>
      <w:spacing w:line="360" w:lineRule="auto"/>
      <w:ind w:left="100" w:leftChars="600" w:hanging="200" w:hangingChars="200"/>
    </w:pPr>
    <w:rPr>
      <w:rFonts w:ascii="Times New Roman"/>
      <w:kern w:val="2"/>
      <w:sz w:val="24"/>
    </w:rPr>
  </w:style>
  <w:style w:type="paragraph" w:styleId="49">
    <w:name w:val="List Continue 2"/>
    <w:basedOn w:val="1"/>
    <w:qFormat/>
    <w:uiPriority w:val="0"/>
    <w:pPr>
      <w:adjustRightInd w:val="0"/>
      <w:snapToGrid w:val="0"/>
      <w:spacing w:after="120" w:line="360" w:lineRule="auto"/>
      <w:ind w:left="840" w:leftChars="400"/>
    </w:pPr>
    <w:rPr>
      <w:rFonts w:ascii="Times New Roman"/>
      <w:kern w:val="2"/>
      <w:sz w:val="24"/>
    </w:rPr>
  </w:style>
  <w:style w:type="paragraph" w:styleId="50">
    <w:name w:val="Normal (Web)"/>
    <w:basedOn w:val="1"/>
    <w:qFormat/>
    <w:uiPriority w:val="0"/>
    <w:pPr>
      <w:spacing w:beforeAutospacing="1" w:afterAutospacing="1"/>
      <w:jc w:val="left"/>
    </w:pPr>
    <w:rPr>
      <w:sz w:val="24"/>
    </w:rPr>
  </w:style>
  <w:style w:type="paragraph" w:styleId="51">
    <w:name w:val="List Continue 3"/>
    <w:basedOn w:val="1"/>
    <w:qFormat/>
    <w:uiPriority w:val="0"/>
    <w:pPr>
      <w:adjustRightInd w:val="0"/>
      <w:snapToGrid w:val="0"/>
      <w:spacing w:after="120" w:line="360" w:lineRule="auto"/>
      <w:ind w:left="1260" w:leftChars="600"/>
    </w:pPr>
    <w:rPr>
      <w:rFonts w:ascii="Times New Roman"/>
      <w:kern w:val="2"/>
      <w:sz w:val="24"/>
    </w:rPr>
  </w:style>
  <w:style w:type="paragraph" w:styleId="52">
    <w:name w:val="index 1"/>
    <w:basedOn w:val="1"/>
    <w:next w:val="1"/>
    <w:qFormat/>
    <w:uiPriority w:val="0"/>
    <w:pPr>
      <w:adjustRightInd w:val="0"/>
      <w:spacing w:line="240" w:lineRule="atLeast"/>
      <w:textAlignment w:val="baseline"/>
    </w:pPr>
    <w:rPr>
      <w:sz w:val="21"/>
    </w:rPr>
  </w:style>
  <w:style w:type="paragraph" w:styleId="53">
    <w:name w:val="Title"/>
    <w:basedOn w:val="1"/>
    <w:link w:val="95"/>
    <w:qFormat/>
    <w:uiPriority w:val="0"/>
    <w:pPr>
      <w:widowControl/>
      <w:spacing w:after="240" w:line="360" w:lineRule="auto"/>
      <w:jc w:val="center"/>
    </w:pPr>
    <w:rPr>
      <w:rFonts w:ascii="Arial" w:hAnsi="Arial"/>
      <w:b/>
      <w:smallCaps/>
      <w:kern w:val="28"/>
      <w:sz w:val="36"/>
      <w:lang w:eastAsia="en-US"/>
    </w:rPr>
  </w:style>
  <w:style w:type="paragraph" w:styleId="54">
    <w:name w:val="annotation subject"/>
    <w:basedOn w:val="19"/>
    <w:next w:val="19"/>
    <w:link w:val="84"/>
    <w:qFormat/>
    <w:uiPriority w:val="0"/>
    <w:rPr>
      <w:b/>
      <w:bCs/>
    </w:rPr>
  </w:style>
  <w:style w:type="paragraph" w:styleId="55">
    <w:name w:val="Body Text First Indent"/>
    <w:basedOn w:val="22"/>
    <w:link w:val="96"/>
    <w:qFormat/>
    <w:uiPriority w:val="0"/>
    <w:pPr>
      <w:ind w:firstLine="420" w:firstLineChars="100"/>
    </w:pPr>
    <w:rPr>
      <w:rFonts w:ascii="Times New Roman"/>
      <w:kern w:val="2"/>
      <w:sz w:val="28"/>
    </w:rPr>
  </w:style>
  <w:style w:type="paragraph" w:styleId="56">
    <w:name w:val="Body Text First Indent 2"/>
    <w:basedOn w:val="24"/>
    <w:link w:val="97"/>
    <w:qFormat/>
    <w:uiPriority w:val="0"/>
    <w:pPr>
      <w:spacing w:after="120" w:line="240" w:lineRule="auto"/>
      <w:ind w:left="420" w:leftChars="200" w:firstLine="420" w:firstLineChars="200"/>
    </w:pPr>
    <w:rPr>
      <w:rFonts w:ascii="Times New Roman"/>
      <w:kern w:val="2"/>
      <w:sz w:val="21"/>
    </w:rPr>
  </w:style>
  <w:style w:type="table" w:styleId="58">
    <w:name w:val="Table Grid"/>
    <w:basedOn w:val="5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0">
    <w:name w:val="Strong"/>
    <w:basedOn w:val="59"/>
    <w:qFormat/>
    <w:uiPriority w:val="22"/>
    <w:rPr>
      <w:b/>
    </w:rPr>
  </w:style>
  <w:style w:type="character" w:styleId="61">
    <w:name w:val="page number"/>
    <w:basedOn w:val="59"/>
    <w:qFormat/>
    <w:uiPriority w:val="0"/>
  </w:style>
  <w:style w:type="character" w:styleId="62">
    <w:name w:val="FollowedHyperlink"/>
    <w:qFormat/>
    <w:uiPriority w:val="0"/>
    <w:rPr>
      <w:color w:val="800080"/>
      <w:u w:val="single"/>
    </w:rPr>
  </w:style>
  <w:style w:type="character" w:styleId="63">
    <w:name w:val="Emphasis"/>
    <w:qFormat/>
    <w:uiPriority w:val="0"/>
    <w:rPr>
      <w:i/>
    </w:rPr>
  </w:style>
  <w:style w:type="character" w:styleId="64">
    <w:name w:val="Hyperlink"/>
    <w:qFormat/>
    <w:uiPriority w:val="99"/>
    <w:rPr>
      <w:color w:val="0000FF"/>
      <w:u w:val="single"/>
    </w:rPr>
  </w:style>
  <w:style w:type="character" w:styleId="65">
    <w:name w:val="annotation reference"/>
    <w:basedOn w:val="59"/>
    <w:qFormat/>
    <w:uiPriority w:val="0"/>
    <w:rPr>
      <w:sz w:val="21"/>
      <w:szCs w:val="21"/>
    </w:rPr>
  </w:style>
  <w:style w:type="character" w:styleId="66">
    <w:name w:val="footnote reference"/>
    <w:qFormat/>
    <w:uiPriority w:val="0"/>
    <w:rPr>
      <w:position w:val="6"/>
      <w:sz w:val="14"/>
      <w:vertAlign w:val="superscript"/>
    </w:rPr>
  </w:style>
  <w:style w:type="character" w:customStyle="1" w:styleId="67">
    <w:name w:val="正文文本缩进 字符"/>
    <w:basedOn w:val="59"/>
    <w:link w:val="24"/>
    <w:qFormat/>
    <w:uiPriority w:val="0"/>
    <w:rPr>
      <w:rFonts w:ascii="宋体"/>
      <w:sz w:val="44"/>
    </w:rPr>
  </w:style>
  <w:style w:type="character" w:customStyle="1" w:styleId="68">
    <w:name w:val="标题 1 字符"/>
    <w:basedOn w:val="59"/>
    <w:link w:val="2"/>
    <w:qFormat/>
    <w:uiPriority w:val="0"/>
    <w:rPr>
      <w:rFonts w:eastAsia="仿宋"/>
      <w:b/>
      <w:bCs/>
      <w:kern w:val="44"/>
      <w:sz w:val="44"/>
      <w:szCs w:val="44"/>
    </w:rPr>
  </w:style>
  <w:style w:type="character" w:customStyle="1" w:styleId="69">
    <w:name w:val="标题 2 字符"/>
    <w:link w:val="3"/>
    <w:qFormat/>
    <w:uiPriority w:val="0"/>
    <w:rPr>
      <w:rFonts w:ascii="Arial" w:hAnsi="Arial"/>
      <w:bCs/>
      <w:kern w:val="2"/>
      <w:sz w:val="28"/>
      <w:szCs w:val="32"/>
    </w:rPr>
  </w:style>
  <w:style w:type="character" w:customStyle="1" w:styleId="70">
    <w:name w:val="标题 3 字符"/>
    <w:basedOn w:val="59"/>
    <w:link w:val="4"/>
    <w:qFormat/>
    <w:uiPriority w:val="0"/>
    <w:rPr>
      <w:b/>
      <w:bCs/>
      <w:kern w:val="2"/>
      <w:sz w:val="32"/>
      <w:szCs w:val="32"/>
    </w:rPr>
  </w:style>
  <w:style w:type="character" w:customStyle="1" w:styleId="71">
    <w:name w:val="标题 4 字符"/>
    <w:basedOn w:val="59"/>
    <w:link w:val="5"/>
    <w:qFormat/>
    <w:uiPriority w:val="0"/>
    <w:rPr>
      <w:rFonts w:ascii="Arial" w:hAnsi="Arial" w:eastAsia="黑体"/>
      <w:b/>
      <w:kern w:val="2"/>
      <w:sz w:val="28"/>
    </w:rPr>
  </w:style>
  <w:style w:type="character" w:customStyle="1" w:styleId="72">
    <w:name w:val="标题 5 字符"/>
    <w:basedOn w:val="59"/>
    <w:link w:val="6"/>
    <w:qFormat/>
    <w:uiPriority w:val="0"/>
    <w:rPr>
      <w:b/>
      <w:kern w:val="2"/>
      <w:sz w:val="28"/>
    </w:rPr>
  </w:style>
  <w:style w:type="character" w:customStyle="1" w:styleId="73">
    <w:name w:val="标题 6 字符"/>
    <w:basedOn w:val="59"/>
    <w:link w:val="7"/>
    <w:qFormat/>
    <w:uiPriority w:val="0"/>
    <w:rPr>
      <w:rFonts w:ascii="Arial" w:hAnsi="Arial" w:eastAsia="黑体"/>
      <w:b/>
      <w:kern w:val="2"/>
      <w:sz w:val="24"/>
    </w:rPr>
  </w:style>
  <w:style w:type="character" w:customStyle="1" w:styleId="74">
    <w:name w:val="标题 7 字符"/>
    <w:basedOn w:val="59"/>
    <w:link w:val="8"/>
    <w:qFormat/>
    <w:uiPriority w:val="0"/>
    <w:rPr>
      <w:rFonts w:ascii="Arial" w:hAnsi="Arial" w:eastAsia="黑体"/>
      <w:b/>
      <w:kern w:val="2"/>
      <w:sz w:val="24"/>
    </w:rPr>
  </w:style>
  <w:style w:type="character" w:customStyle="1" w:styleId="75">
    <w:name w:val="标题 8 字符"/>
    <w:basedOn w:val="59"/>
    <w:link w:val="9"/>
    <w:qFormat/>
    <w:uiPriority w:val="0"/>
    <w:rPr>
      <w:rFonts w:ascii="Arial" w:hAnsi="Arial" w:eastAsia="黑体"/>
      <w:b/>
      <w:kern w:val="2"/>
      <w:sz w:val="24"/>
    </w:rPr>
  </w:style>
  <w:style w:type="character" w:customStyle="1" w:styleId="76">
    <w:name w:val="标题 9 字符"/>
    <w:basedOn w:val="59"/>
    <w:link w:val="10"/>
    <w:qFormat/>
    <w:uiPriority w:val="0"/>
    <w:rPr>
      <w:rFonts w:ascii="Arial" w:hAnsi="Arial" w:eastAsia="黑体"/>
      <w:b/>
      <w:kern w:val="2"/>
      <w:sz w:val="24"/>
    </w:rPr>
  </w:style>
  <w:style w:type="character" w:customStyle="1" w:styleId="77">
    <w:name w:val="批注文字 字符"/>
    <w:basedOn w:val="59"/>
    <w:link w:val="19"/>
    <w:qFormat/>
    <w:uiPriority w:val="0"/>
    <w:rPr>
      <w:rFonts w:ascii="宋体"/>
      <w:sz w:val="34"/>
    </w:rPr>
  </w:style>
  <w:style w:type="character" w:customStyle="1" w:styleId="78">
    <w:name w:val="正文文本 字符"/>
    <w:basedOn w:val="59"/>
    <w:link w:val="22"/>
    <w:qFormat/>
    <w:uiPriority w:val="99"/>
    <w:rPr>
      <w:rFonts w:ascii="宋体"/>
      <w:sz w:val="34"/>
    </w:rPr>
  </w:style>
  <w:style w:type="character" w:customStyle="1" w:styleId="79">
    <w:name w:val="纯文本 字符"/>
    <w:basedOn w:val="59"/>
    <w:link w:val="31"/>
    <w:qFormat/>
    <w:uiPriority w:val="0"/>
    <w:rPr>
      <w:rFonts w:ascii="宋体" w:hAnsi="Courier New"/>
      <w:kern w:val="2"/>
      <w:sz w:val="21"/>
      <w:szCs w:val="21"/>
    </w:rPr>
  </w:style>
  <w:style w:type="character" w:customStyle="1" w:styleId="80">
    <w:name w:val="日期 字符"/>
    <w:link w:val="33"/>
    <w:qFormat/>
    <w:uiPriority w:val="0"/>
    <w:rPr>
      <w:rFonts w:ascii="宋体"/>
      <w:sz w:val="34"/>
    </w:rPr>
  </w:style>
  <w:style w:type="character" w:customStyle="1" w:styleId="81">
    <w:name w:val="页脚 字符"/>
    <w:link w:val="36"/>
    <w:qFormat/>
    <w:uiPriority w:val="0"/>
    <w:rPr>
      <w:kern w:val="2"/>
      <w:sz w:val="18"/>
      <w:szCs w:val="18"/>
    </w:rPr>
  </w:style>
  <w:style w:type="character" w:customStyle="1" w:styleId="82">
    <w:name w:val="页眉 字符"/>
    <w:link w:val="37"/>
    <w:qFormat/>
    <w:uiPriority w:val="0"/>
    <w:rPr>
      <w:rFonts w:ascii="宋体"/>
      <w:sz w:val="18"/>
      <w:szCs w:val="18"/>
    </w:rPr>
  </w:style>
  <w:style w:type="paragraph" w:customStyle="1" w:styleId="83">
    <w:name w:val="null3"/>
    <w:qFormat/>
    <w:uiPriority w:val="0"/>
    <w:rPr>
      <w:rFonts w:hint="eastAsia" w:ascii="Calibri" w:hAnsi="Calibri" w:eastAsia="宋体" w:cs="Times New Roman"/>
      <w:lang w:val="en-US" w:eastAsia="zh-CN" w:bidi="ar-SA"/>
    </w:rPr>
  </w:style>
  <w:style w:type="character" w:customStyle="1" w:styleId="84">
    <w:name w:val="批注主题 字符"/>
    <w:basedOn w:val="77"/>
    <w:link w:val="54"/>
    <w:qFormat/>
    <w:uiPriority w:val="99"/>
    <w:rPr>
      <w:rFonts w:ascii="宋体"/>
      <w:b/>
      <w:bCs/>
      <w:sz w:val="34"/>
    </w:rPr>
  </w:style>
  <w:style w:type="paragraph" w:customStyle="1" w:styleId="85">
    <w:name w:val="修订1"/>
    <w:qFormat/>
    <w:uiPriority w:val="99"/>
    <w:rPr>
      <w:rFonts w:ascii="宋体" w:hAnsi="Times New Roman" w:eastAsia="宋体" w:cs="Times New Roman"/>
      <w:sz w:val="34"/>
      <w:lang w:val="en-US" w:eastAsia="zh-CN" w:bidi="ar-SA"/>
    </w:rPr>
  </w:style>
  <w:style w:type="character" w:customStyle="1" w:styleId="86">
    <w:name w:val="批注框文本 字符"/>
    <w:basedOn w:val="59"/>
    <w:link w:val="35"/>
    <w:qFormat/>
    <w:uiPriority w:val="99"/>
    <w:rPr>
      <w:rFonts w:ascii="宋体"/>
      <w:sz w:val="18"/>
      <w:szCs w:val="18"/>
    </w:rPr>
  </w:style>
  <w:style w:type="paragraph" w:customStyle="1" w:styleId="87">
    <w:name w:val="Default"/>
    <w:next w:val="1"/>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character" w:customStyle="1" w:styleId="88">
    <w:name w:val="文档结构图 字符"/>
    <w:basedOn w:val="59"/>
    <w:link w:val="17"/>
    <w:qFormat/>
    <w:uiPriority w:val="0"/>
    <w:rPr>
      <w:kern w:val="2"/>
      <w:sz w:val="28"/>
      <w:shd w:val="clear" w:color="auto" w:fill="000080"/>
    </w:rPr>
  </w:style>
  <w:style w:type="character" w:customStyle="1" w:styleId="89">
    <w:name w:val="正文文本 3 字符"/>
    <w:basedOn w:val="59"/>
    <w:link w:val="20"/>
    <w:qFormat/>
    <w:uiPriority w:val="0"/>
    <w:rPr>
      <w:kern w:val="2"/>
      <w:sz w:val="16"/>
    </w:rPr>
  </w:style>
  <w:style w:type="paragraph" w:customStyle="1" w:styleId="90">
    <w:name w:val="引用1"/>
    <w:basedOn w:val="1"/>
    <w:next w:val="1"/>
    <w:qFormat/>
    <w:uiPriority w:val="99"/>
    <w:rPr>
      <w:rFonts w:ascii="Times New Roman"/>
      <w:i/>
      <w:iCs/>
      <w:color w:val="000000"/>
      <w:sz w:val="22"/>
    </w:rPr>
  </w:style>
  <w:style w:type="character" w:customStyle="1" w:styleId="91">
    <w:name w:val="正文文本缩进 2 字符"/>
    <w:basedOn w:val="59"/>
    <w:link w:val="34"/>
    <w:qFormat/>
    <w:uiPriority w:val="0"/>
    <w:rPr>
      <w:rFonts w:ascii="宋体"/>
      <w:kern w:val="2"/>
      <w:sz w:val="28"/>
    </w:rPr>
  </w:style>
  <w:style w:type="character" w:customStyle="1" w:styleId="92">
    <w:name w:val="脚注文本 字符"/>
    <w:basedOn w:val="59"/>
    <w:link w:val="41"/>
    <w:qFormat/>
    <w:uiPriority w:val="0"/>
    <w:rPr>
      <w:kern w:val="2"/>
      <w:sz w:val="18"/>
    </w:rPr>
  </w:style>
  <w:style w:type="character" w:customStyle="1" w:styleId="93">
    <w:name w:val="正文文本缩进 3 字符"/>
    <w:basedOn w:val="59"/>
    <w:link w:val="44"/>
    <w:qFormat/>
    <w:uiPriority w:val="0"/>
    <w:rPr>
      <w:rFonts w:ascii="黑体" w:eastAsia="黑体"/>
      <w:kern w:val="2"/>
      <w:sz w:val="28"/>
    </w:rPr>
  </w:style>
  <w:style w:type="character" w:customStyle="1" w:styleId="94">
    <w:name w:val="正文文本 2 字符"/>
    <w:basedOn w:val="59"/>
    <w:link w:val="23"/>
    <w:qFormat/>
    <w:uiPriority w:val="0"/>
    <w:rPr>
      <w:kern w:val="2"/>
      <w:sz w:val="24"/>
    </w:rPr>
  </w:style>
  <w:style w:type="character" w:customStyle="1" w:styleId="95">
    <w:name w:val="标题 字符"/>
    <w:basedOn w:val="59"/>
    <w:link w:val="53"/>
    <w:qFormat/>
    <w:uiPriority w:val="0"/>
    <w:rPr>
      <w:rFonts w:ascii="Arial" w:hAnsi="Arial"/>
      <w:b/>
      <w:smallCaps/>
      <w:kern w:val="28"/>
      <w:sz w:val="36"/>
      <w:lang w:eastAsia="en-US"/>
    </w:rPr>
  </w:style>
  <w:style w:type="character" w:customStyle="1" w:styleId="96">
    <w:name w:val="正文首行缩进 字符"/>
    <w:basedOn w:val="78"/>
    <w:link w:val="55"/>
    <w:qFormat/>
    <w:uiPriority w:val="0"/>
    <w:rPr>
      <w:rFonts w:ascii="宋体"/>
      <w:kern w:val="2"/>
      <w:sz w:val="28"/>
    </w:rPr>
  </w:style>
  <w:style w:type="character" w:customStyle="1" w:styleId="97">
    <w:name w:val="正文首行缩进 2 字符"/>
    <w:basedOn w:val="67"/>
    <w:link w:val="56"/>
    <w:qFormat/>
    <w:uiPriority w:val="0"/>
    <w:rPr>
      <w:rFonts w:ascii="宋体"/>
      <w:kern w:val="2"/>
      <w:sz w:val="21"/>
    </w:rPr>
  </w:style>
  <w:style w:type="character" w:customStyle="1" w:styleId="98">
    <w:name w:val="标题 2 字符1"/>
    <w:qFormat/>
    <w:uiPriority w:val="0"/>
    <w:rPr>
      <w:rFonts w:ascii="宋体" w:hAnsi="宋体" w:eastAsia="宋体" w:cs="Times New Roman"/>
      <w:sz w:val="28"/>
      <w:szCs w:val="20"/>
      <w:lang w:val="zh-CN" w:eastAsia="zh-CN"/>
    </w:rPr>
  </w:style>
  <w:style w:type="character" w:customStyle="1" w:styleId="99">
    <w:name w:val="小 Char"/>
    <w:qFormat/>
    <w:uiPriority w:val="0"/>
    <w:rPr>
      <w:rFonts w:ascii="宋体" w:hAnsi="Courier New" w:eastAsia="宋体"/>
      <w:kern w:val="2"/>
      <w:sz w:val="21"/>
      <w:lang w:val="en-US" w:eastAsia="zh-CN" w:bidi="ar-SA"/>
    </w:rPr>
  </w:style>
  <w:style w:type="character" w:customStyle="1" w:styleId="100">
    <w:name w:val="crowed11"/>
    <w:qFormat/>
    <w:uiPriority w:val="0"/>
    <w:rPr>
      <w:rFonts w:hint="default"/>
      <w:sz w:val="24"/>
    </w:rPr>
  </w:style>
  <w:style w:type="character" w:customStyle="1" w:styleId="101">
    <w:name w:val="Table Text Char Char Char Char"/>
    <w:qFormat/>
    <w:uiPriority w:val="0"/>
    <w:rPr>
      <w:rFonts w:ascii="Arial" w:hAnsi="Arial"/>
      <w:kern w:val="2"/>
      <w:sz w:val="18"/>
      <w:lang w:val="en-US" w:eastAsia="zh-CN" w:bidi="ar-SA"/>
    </w:rPr>
  </w:style>
  <w:style w:type="character" w:customStyle="1" w:styleId="102">
    <w:name w:val="Char Char"/>
    <w:qFormat/>
    <w:uiPriority w:val="0"/>
    <w:rPr>
      <w:rFonts w:ascii="宋体" w:hAnsi="宋体" w:eastAsia="宋体"/>
      <w:kern w:val="2"/>
      <w:sz w:val="24"/>
      <w:lang w:val="en-US" w:eastAsia="zh-CN" w:bidi="ar-SA"/>
    </w:rPr>
  </w:style>
  <w:style w:type="character" w:customStyle="1" w:styleId="103">
    <w:name w:val="v151"/>
    <w:qFormat/>
    <w:uiPriority w:val="0"/>
    <w:rPr>
      <w:sz w:val="18"/>
    </w:rPr>
  </w:style>
  <w:style w:type="character" w:customStyle="1" w:styleId="104">
    <w:name w:val="Char Char4"/>
    <w:qFormat/>
    <w:uiPriority w:val="0"/>
    <w:rPr>
      <w:rFonts w:eastAsia="宋体"/>
      <w:b/>
      <w:kern w:val="2"/>
      <w:sz w:val="21"/>
      <w:lang w:val="en-US" w:eastAsia="zh-CN"/>
    </w:rPr>
  </w:style>
  <w:style w:type="character" w:customStyle="1" w:styleId="105">
    <w:name w:val="font1"/>
    <w:qFormat/>
    <w:uiPriority w:val="0"/>
    <w:rPr>
      <w:color w:val="000000"/>
      <w:sz w:val="18"/>
    </w:rPr>
  </w:style>
  <w:style w:type="character" w:customStyle="1" w:styleId="106">
    <w:name w:val="Table Heading Char Char"/>
    <w:qFormat/>
    <w:uiPriority w:val="0"/>
    <w:rPr>
      <w:rFonts w:ascii="Arial" w:hAnsi="Arial" w:eastAsia="黑体"/>
      <w:kern w:val="2"/>
      <w:sz w:val="18"/>
      <w:lang w:val="en-US" w:eastAsia="zh-CN"/>
    </w:rPr>
  </w:style>
  <w:style w:type="character" w:customStyle="1" w:styleId="107">
    <w:name w:val="Char Char6"/>
    <w:qFormat/>
    <w:uiPriority w:val="0"/>
    <w:rPr>
      <w:rFonts w:ascii="仿宋_GB2312" w:eastAsia="仿宋_GB2312"/>
      <w:kern w:val="2"/>
      <w:sz w:val="32"/>
    </w:rPr>
  </w:style>
  <w:style w:type="character" w:customStyle="1" w:styleId="108">
    <w:name w:val="Char Char3"/>
    <w:qFormat/>
    <w:uiPriority w:val="0"/>
    <w:rPr>
      <w:rFonts w:eastAsia="宋体"/>
      <w:kern w:val="2"/>
      <w:sz w:val="18"/>
      <w:lang w:val="en-US" w:eastAsia="zh-CN"/>
    </w:rPr>
  </w:style>
  <w:style w:type="character" w:customStyle="1" w:styleId="109">
    <w:name w:val="样式 宋体"/>
    <w:qFormat/>
    <w:uiPriority w:val="0"/>
    <w:rPr>
      <w:rFonts w:ascii="宋体" w:hAnsi="宋体" w:eastAsia="宋体"/>
      <w:sz w:val="28"/>
    </w:rPr>
  </w:style>
  <w:style w:type="character" w:customStyle="1" w:styleId="110">
    <w:name w:val="Char Char5"/>
    <w:qFormat/>
    <w:uiPriority w:val="0"/>
    <w:rPr>
      <w:rFonts w:ascii="Arial" w:hAnsi="Arial" w:eastAsia="宋体"/>
      <w:b/>
      <w:smallCaps/>
      <w:kern w:val="28"/>
      <w:sz w:val="36"/>
      <w:lang w:val="en-US" w:eastAsia="en-US"/>
    </w:rPr>
  </w:style>
  <w:style w:type="character" w:customStyle="1" w:styleId="111">
    <w:name w:val="标书正文:  0.74 厘米 Char1"/>
    <w:qFormat/>
    <w:uiPriority w:val="0"/>
    <w:rPr>
      <w:rFonts w:eastAsia="宋体"/>
      <w:kern w:val="2"/>
      <w:sz w:val="24"/>
      <w:lang w:val="en-US" w:eastAsia="zh-CN"/>
    </w:rPr>
  </w:style>
  <w:style w:type="character" w:customStyle="1" w:styleId="112">
    <w:name w:val="Table Text Char1 Char"/>
    <w:qFormat/>
    <w:uiPriority w:val="0"/>
    <w:rPr>
      <w:rFonts w:ascii="Arial" w:hAnsi="Arial"/>
      <w:kern w:val="2"/>
      <w:sz w:val="18"/>
      <w:lang w:val="en-US" w:eastAsia="zh-CN" w:bidi="ar-SA"/>
    </w:rPr>
  </w:style>
  <w:style w:type="character" w:customStyle="1" w:styleId="113">
    <w:name w:val="Char Char2"/>
    <w:qFormat/>
    <w:uiPriority w:val="0"/>
    <w:rPr>
      <w:rFonts w:eastAsia="宋体"/>
      <w:kern w:val="2"/>
      <w:sz w:val="18"/>
      <w:lang w:val="en-US" w:eastAsia="zh-CN"/>
    </w:rPr>
  </w:style>
  <w:style w:type="character" w:customStyle="1" w:styleId="114">
    <w:name w:val="正文 + 三号 Char"/>
    <w:qFormat/>
    <w:uiPriority w:val="0"/>
    <w:rPr>
      <w:rFonts w:eastAsia="宋体"/>
      <w:kern w:val="2"/>
      <w:sz w:val="21"/>
      <w:lang w:val="en-US" w:eastAsia="zh-CN"/>
    </w:rPr>
  </w:style>
  <w:style w:type="character" w:customStyle="1" w:styleId="115">
    <w:name w:val="Char Char7"/>
    <w:qFormat/>
    <w:uiPriority w:val="0"/>
    <w:rPr>
      <w:rFonts w:ascii="宋体" w:hAnsi="宋体" w:eastAsia="宋体"/>
      <w:kern w:val="2"/>
      <w:sz w:val="28"/>
    </w:rPr>
  </w:style>
  <w:style w:type="character" w:customStyle="1" w:styleId="116">
    <w:name w:val="未命名11"/>
    <w:qFormat/>
    <w:uiPriority w:val="0"/>
    <w:rPr>
      <w:color w:val="77FFFF"/>
      <w:sz w:val="24"/>
    </w:rPr>
  </w:style>
  <w:style w:type="character" w:customStyle="1" w:styleId="117">
    <w:name w:val="文字 Char"/>
    <w:link w:val="118"/>
    <w:qFormat/>
    <w:uiPriority w:val="0"/>
    <w:rPr>
      <w:rFonts w:ascii="宋体"/>
      <w:kern w:val="2"/>
      <w:sz w:val="28"/>
    </w:rPr>
  </w:style>
  <w:style w:type="paragraph" w:customStyle="1" w:styleId="118">
    <w:name w:val="文字"/>
    <w:basedOn w:val="1"/>
    <w:link w:val="117"/>
    <w:qFormat/>
    <w:uiPriority w:val="0"/>
    <w:pPr>
      <w:tabs>
        <w:tab w:val="left" w:pos="8520"/>
      </w:tabs>
      <w:spacing w:line="312" w:lineRule="auto"/>
      <w:ind w:right="-210" w:firstLine="556"/>
    </w:pPr>
    <w:rPr>
      <w:kern w:val="2"/>
      <w:sz w:val="28"/>
    </w:rPr>
  </w:style>
  <w:style w:type="character" w:customStyle="1" w:styleId="119">
    <w:name w:val="content-white1"/>
    <w:qFormat/>
    <w:uiPriority w:val="0"/>
    <w:rPr>
      <w:color w:val="auto"/>
      <w:sz w:val="18"/>
      <w:u w:val="none"/>
    </w:rPr>
  </w:style>
  <w:style w:type="character" w:customStyle="1" w:styleId="120">
    <w:name w:val="Table Text Char"/>
    <w:qFormat/>
    <w:uiPriority w:val="0"/>
    <w:rPr>
      <w:rFonts w:ascii="Arial" w:hAnsi="Arial"/>
      <w:kern w:val="2"/>
      <w:sz w:val="18"/>
      <w:lang w:val="en-US" w:eastAsia="zh-CN" w:bidi="ar-SA"/>
    </w:rPr>
  </w:style>
  <w:style w:type="character" w:customStyle="1" w:styleId="121">
    <w:name w:val="top-det1"/>
    <w:qFormat/>
    <w:uiPriority w:val="0"/>
    <w:rPr>
      <w:b/>
      <w:color w:val="000000"/>
    </w:rPr>
  </w:style>
  <w:style w:type="character" w:customStyle="1" w:styleId="122">
    <w:name w:val="批注文字 Char"/>
    <w:qFormat/>
    <w:uiPriority w:val="0"/>
    <w:rPr>
      <w:rFonts w:eastAsia="PMingLiU"/>
      <w:sz w:val="24"/>
      <w:lang w:eastAsia="zh-TW"/>
    </w:rPr>
  </w:style>
  <w:style w:type="paragraph" w:customStyle="1" w:styleId="123">
    <w:name w:val="小标题 1"/>
    <w:basedOn w:val="1"/>
    <w:qFormat/>
    <w:uiPriority w:val="0"/>
    <w:pPr>
      <w:autoSpaceDE w:val="0"/>
      <w:autoSpaceDN w:val="0"/>
      <w:adjustRightInd w:val="0"/>
      <w:spacing w:line="360" w:lineRule="atLeast"/>
    </w:pPr>
    <w:rPr>
      <w:rFonts w:ascii="文鼎粗黑" w:eastAsia="文鼎粗黑"/>
      <w:sz w:val="22"/>
    </w:rPr>
  </w:style>
  <w:style w:type="paragraph" w:customStyle="1" w:styleId="124">
    <w:name w:val="style1"/>
    <w:basedOn w:val="1"/>
    <w:qFormat/>
    <w:uiPriority w:val="0"/>
    <w:pPr>
      <w:widowControl/>
      <w:spacing w:before="100" w:beforeAutospacing="1" w:after="100" w:afterAutospacing="1"/>
      <w:jc w:val="left"/>
    </w:pPr>
    <w:rPr>
      <w:rFonts w:hAnsi="宋体"/>
      <w:sz w:val="21"/>
    </w:rPr>
  </w:style>
  <w:style w:type="paragraph" w:customStyle="1" w:styleId="125">
    <w:name w:val="Char1"/>
    <w:basedOn w:val="1"/>
    <w:qFormat/>
    <w:uiPriority w:val="0"/>
    <w:rPr>
      <w:rFonts w:ascii="Times New Roman"/>
      <w:kern w:val="2"/>
      <w:sz w:val="21"/>
    </w:rPr>
  </w:style>
  <w:style w:type="paragraph" w:customStyle="1" w:styleId="126">
    <w:name w:val="标题3——2"/>
    <w:basedOn w:val="4"/>
    <w:next w:val="55"/>
    <w:qFormat/>
    <w:uiPriority w:val="0"/>
    <w:pPr>
      <w:tabs>
        <w:tab w:val="left" w:pos="1280"/>
        <w:tab w:val="right" w:leader="dot" w:pos="8777"/>
      </w:tabs>
      <w:spacing w:before="312" w:beforeLines="100" w:after="0" w:line="240" w:lineRule="auto"/>
      <w:ind w:left="851" w:hanging="851"/>
      <w:outlineLvl w:val="9"/>
    </w:pPr>
    <w:rPr>
      <w:rFonts w:ascii="黑体" w:hAnsi="宋体" w:eastAsia="黑体"/>
      <w:bCs w:val="0"/>
      <w:sz w:val="30"/>
      <w:szCs w:val="20"/>
    </w:rPr>
  </w:style>
  <w:style w:type="paragraph" w:customStyle="1" w:styleId="127">
    <w:name w:val="关键词"/>
    <w:basedOn w:val="1"/>
    <w:next w:val="1"/>
    <w:qFormat/>
    <w:uiPriority w:val="0"/>
    <w:pPr>
      <w:spacing w:line="360" w:lineRule="auto"/>
    </w:pPr>
    <w:rPr>
      <w:rFonts w:ascii="Times New Roman" w:eastAsia="黑体"/>
      <w:kern w:val="2"/>
      <w:sz w:val="20"/>
    </w:rPr>
  </w:style>
  <w:style w:type="paragraph" w:customStyle="1" w:styleId="128">
    <w:name w:val="标书正文:  0.74 厘米"/>
    <w:basedOn w:val="1"/>
    <w:qFormat/>
    <w:uiPriority w:val="0"/>
    <w:pPr>
      <w:snapToGrid w:val="0"/>
      <w:spacing w:line="360" w:lineRule="auto"/>
      <w:ind w:firstLine="420"/>
    </w:pPr>
    <w:rPr>
      <w:rFonts w:ascii="Times New Roman"/>
      <w:kern w:val="2"/>
      <w:sz w:val="24"/>
    </w:rPr>
  </w:style>
  <w:style w:type="paragraph" w:customStyle="1" w:styleId="129">
    <w:name w:val="bt"/>
    <w:basedOn w:val="1"/>
    <w:next w:val="22"/>
    <w:qFormat/>
    <w:uiPriority w:val="0"/>
    <w:pPr>
      <w:overflowPunct w:val="0"/>
      <w:autoSpaceDE w:val="0"/>
      <w:autoSpaceDN w:val="0"/>
      <w:adjustRightInd w:val="0"/>
      <w:snapToGrid w:val="0"/>
      <w:spacing w:before="100" w:after="100" w:line="240" w:lineRule="atLeast"/>
      <w:ind w:left="2880" w:hanging="360"/>
      <w:textAlignment w:val="baseline"/>
    </w:pPr>
    <w:rPr>
      <w:sz w:val="20"/>
    </w:rPr>
  </w:style>
  <w:style w:type="paragraph" w:customStyle="1" w:styleId="13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131">
    <w:name w:val="Char1 Char Char Char"/>
    <w:basedOn w:val="1"/>
    <w:qFormat/>
    <w:uiPriority w:val="0"/>
    <w:rPr>
      <w:rFonts w:ascii="Tahoma" w:hAnsi="Tahoma"/>
      <w:kern w:val="2"/>
      <w:sz w:val="21"/>
    </w:rPr>
  </w:style>
  <w:style w:type="paragraph" w:customStyle="1" w:styleId="132">
    <w:name w:val="Char Char Char Char"/>
    <w:basedOn w:val="1"/>
    <w:qFormat/>
    <w:uiPriority w:val="0"/>
    <w:pPr>
      <w:pageBreakBefore/>
      <w:widowControl/>
      <w:spacing w:after="160" w:line="240" w:lineRule="exact"/>
      <w:jc w:val="left"/>
    </w:pPr>
    <w:rPr>
      <w:rFonts w:ascii="Verdana" w:hAnsi="Verdana"/>
      <w:sz w:val="20"/>
      <w:lang w:eastAsia="en-US"/>
    </w:rPr>
  </w:style>
  <w:style w:type="paragraph" w:customStyle="1" w:styleId="133">
    <w:name w:val="章标题"/>
    <w:next w:val="1"/>
    <w:qFormat/>
    <w:uiPriority w:val="0"/>
    <w:pPr>
      <w:numPr>
        <w:ilvl w:val="0"/>
        <w:numId w:val="6"/>
      </w:numPr>
      <w:spacing w:before="156" w:beforeLines="50" w:after="156" w:afterLines="50"/>
      <w:ind w:left="0"/>
      <w:jc w:val="both"/>
      <w:outlineLvl w:val="1"/>
    </w:pPr>
    <w:rPr>
      <w:rFonts w:ascii="黑体" w:hAnsi="Times New Roman" w:eastAsia="黑体" w:cs="Times New Roman"/>
      <w:sz w:val="24"/>
      <w:lang w:val="en-US" w:eastAsia="zh-CN" w:bidi="ar-SA"/>
    </w:rPr>
  </w:style>
  <w:style w:type="paragraph" w:customStyle="1" w:styleId="134">
    <w:name w:val="CSS1级正文 Char"/>
    <w:basedOn w:val="22"/>
    <w:qFormat/>
    <w:uiPriority w:val="0"/>
    <w:pPr>
      <w:adjustRightInd w:val="0"/>
      <w:snapToGrid w:val="0"/>
      <w:spacing w:after="0" w:line="360" w:lineRule="auto"/>
      <w:ind w:firstLine="480"/>
    </w:pPr>
    <w:rPr>
      <w:rFonts w:ascii="Times New Roman"/>
      <w:kern w:val="2"/>
      <w:sz w:val="24"/>
    </w:rPr>
  </w:style>
  <w:style w:type="paragraph" w:customStyle="1" w:styleId="135">
    <w:name w:val="样式 标题 6第五层条 + 三号 段前: 0.5 行"/>
    <w:basedOn w:val="7"/>
    <w:qFormat/>
    <w:uiPriority w:val="0"/>
    <w:pPr>
      <w:widowControl/>
      <w:adjustRightInd/>
      <w:snapToGrid/>
      <w:spacing w:before="156" w:beforeLines="50"/>
      <w:jc w:val="left"/>
    </w:pPr>
    <w:rPr>
      <w:snapToGrid w:val="0"/>
      <w:kern w:val="24"/>
      <w:sz w:val="28"/>
    </w:rPr>
  </w:style>
  <w:style w:type="paragraph" w:customStyle="1" w:styleId="136">
    <w:name w:val="1.正文"/>
    <w:basedOn w:val="1"/>
    <w:qFormat/>
    <w:uiPriority w:val="0"/>
    <w:pPr>
      <w:spacing w:line="360" w:lineRule="auto"/>
      <w:ind w:left="540" w:leftChars="225" w:firstLine="540" w:firstLineChars="225"/>
    </w:pPr>
    <w:rPr>
      <w:rFonts w:ascii="Times New Roman"/>
      <w:kern w:val="2"/>
      <w:sz w:val="24"/>
    </w:rPr>
  </w:style>
  <w:style w:type="paragraph" w:customStyle="1" w:styleId="137">
    <w:name w:val="正文文本缩进 21"/>
    <w:basedOn w:val="1"/>
    <w:qFormat/>
    <w:uiPriority w:val="0"/>
    <w:pPr>
      <w:adjustRightInd w:val="0"/>
      <w:spacing w:before="120"/>
      <w:ind w:firstLine="420"/>
      <w:textAlignment w:val="baseline"/>
    </w:pPr>
    <w:rPr>
      <w:rFonts w:ascii="Times New Roman"/>
      <w:kern w:val="2"/>
      <w:sz w:val="24"/>
    </w:rPr>
  </w:style>
  <w:style w:type="paragraph" w:customStyle="1" w:styleId="138">
    <w:name w:val="xl23"/>
    <w:basedOn w:val="1"/>
    <w:qFormat/>
    <w:uiPriority w:val="0"/>
    <w:pPr>
      <w:widowControl/>
      <w:spacing w:before="100" w:beforeAutospacing="1" w:after="100" w:afterAutospacing="1" w:line="360" w:lineRule="auto"/>
      <w:textAlignment w:val="top"/>
    </w:pPr>
    <w:rPr>
      <w:rFonts w:ascii="Times New Roman"/>
      <w:sz w:val="24"/>
    </w:rPr>
  </w:style>
  <w:style w:type="paragraph" w:customStyle="1" w:styleId="139">
    <w:name w:val="00"/>
    <w:basedOn w:val="1"/>
    <w:qFormat/>
    <w:uiPriority w:val="0"/>
    <w:pPr>
      <w:autoSpaceDE w:val="0"/>
      <w:autoSpaceDN w:val="0"/>
      <w:adjustRightInd w:val="0"/>
      <w:jc w:val="left"/>
    </w:pPr>
    <w:rPr>
      <w:rFonts w:ascii="黑体" w:eastAsia="黑体"/>
      <w:b/>
      <w:sz w:val="20"/>
    </w:rPr>
  </w:style>
  <w:style w:type="paragraph" w:customStyle="1" w:styleId="140">
    <w:name w:val="样式 样式 正文首行缩进 2 + 左  0 字符 + 首行缩进:  2.57 字符"/>
    <w:basedOn w:val="1"/>
    <w:next w:val="1"/>
    <w:qFormat/>
    <w:uiPriority w:val="0"/>
    <w:pPr>
      <w:adjustRightInd w:val="0"/>
      <w:snapToGrid w:val="0"/>
      <w:spacing w:after="120"/>
      <w:ind w:firstLine="540" w:firstLineChars="257"/>
    </w:pPr>
    <w:rPr>
      <w:rFonts w:ascii="Times New Roman"/>
      <w:kern w:val="2"/>
      <w:sz w:val="21"/>
    </w:rPr>
  </w:style>
  <w:style w:type="paragraph" w:customStyle="1" w:styleId="141">
    <w:name w:val="文本1"/>
    <w:basedOn w:val="1"/>
    <w:qFormat/>
    <w:uiPriority w:val="0"/>
    <w:pPr>
      <w:adjustRightInd w:val="0"/>
      <w:spacing w:line="312" w:lineRule="atLeast"/>
      <w:jc w:val="center"/>
      <w:textAlignment w:val="baseline"/>
    </w:pPr>
    <w:rPr>
      <w:rFonts w:ascii="Times New Roman"/>
      <w:sz w:val="18"/>
    </w:rPr>
  </w:style>
  <w:style w:type="paragraph" w:customStyle="1" w:styleId="142">
    <w:name w:val="Char Char1 Char"/>
    <w:basedOn w:val="1"/>
    <w:qFormat/>
    <w:uiPriority w:val="0"/>
    <w:rPr>
      <w:rFonts w:ascii="Tahoma" w:hAnsi="Tahoma"/>
      <w:kern w:val="2"/>
      <w:sz w:val="24"/>
      <w:szCs w:val="24"/>
    </w:rPr>
  </w:style>
  <w:style w:type="paragraph" w:customStyle="1" w:styleId="143">
    <w:name w:val="标题无"/>
    <w:basedOn w:val="1"/>
    <w:qFormat/>
    <w:uiPriority w:val="0"/>
    <w:pPr>
      <w:spacing w:line="360" w:lineRule="auto"/>
    </w:pPr>
    <w:rPr>
      <w:rFonts w:ascii="Times New Roman"/>
      <w:kern w:val="2"/>
      <w:sz w:val="24"/>
    </w:rPr>
  </w:style>
  <w:style w:type="paragraph" w:customStyle="1" w:styleId="144">
    <w:name w:val="标准正文"/>
    <w:basedOn w:val="24"/>
    <w:qFormat/>
    <w:uiPriority w:val="0"/>
    <w:pPr>
      <w:spacing w:before="60" w:after="60" w:line="360" w:lineRule="auto"/>
      <w:ind w:left="0" w:firstLine="482"/>
    </w:pPr>
    <w:rPr>
      <w:rFonts w:ascii="Arial" w:hAnsi="Arial"/>
      <w:kern w:val="2"/>
      <w:sz w:val="24"/>
    </w:rPr>
  </w:style>
  <w:style w:type="paragraph" w:customStyle="1" w:styleId="145">
    <w:name w:val="Char Char Char Char Char"/>
    <w:basedOn w:val="1"/>
    <w:qFormat/>
    <w:uiPriority w:val="0"/>
    <w:pPr>
      <w:numPr>
        <w:ilvl w:val="0"/>
        <w:numId w:val="7"/>
      </w:numPr>
      <w:tabs>
        <w:tab w:val="left" w:pos="425"/>
      </w:tabs>
    </w:pPr>
    <w:rPr>
      <w:rFonts w:ascii="Tahoma" w:hAnsi="Tahoma"/>
      <w:kern w:val="2"/>
      <w:sz w:val="24"/>
    </w:rPr>
  </w:style>
  <w:style w:type="paragraph" w:customStyle="1" w:styleId="146">
    <w:name w:val="È±Ê¡ÎÄ±¾"/>
    <w:basedOn w:val="1"/>
    <w:qFormat/>
    <w:uiPriority w:val="0"/>
    <w:pPr>
      <w:widowControl/>
      <w:overflowPunct w:val="0"/>
      <w:autoSpaceDE w:val="0"/>
      <w:autoSpaceDN w:val="0"/>
      <w:adjustRightInd w:val="0"/>
      <w:jc w:val="left"/>
      <w:textAlignment w:val="baseline"/>
    </w:pPr>
    <w:rPr>
      <w:rFonts w:ascii="Times New Roman"/>
      <w:sz w:val="24"/>
    </w:rPr>
  </w:style>
  <w:style w:type="paragraph" w:customStyle="1" w:styleId="147">
    <w:name w:val="可研正文"/>
    <w:basedOn w:val="22"/>
    <w:qFormat/>
    <w:uiPriority w:val="0"/>
    <w:pPr>
      <w:adjustRightInd w:val="0"/>
      <w:snapToGrid w:val="0"/>
      <w:spacing w:after="0" w:line="440" w:lineRule="exact"/>
      <w:ind w:firstLine="567"/>
    </w:pPr>
    <w:rPr>
      <w:rFonts w:ascii="仿宋_GB2312" w:eastAsia="仿宋_GB2312"/>
      <w:kern w:val="2"/>
      <w:sz w:val="28"/>
    </w:rPr>
  </w:style>
  <w:style w:type="paragraph" w:customStyle="1" w:styleId="148">
    <w:name w:val="样式 宋体 五号 两端对齐 行距: 单倍行距"/>
    <w:basedOn w:val="1"/>
    <w:qFormat/>
    <w:uiPriority w:val="0"/>
    <w:pPr>
      <w:adjustRightInd w:val="0"/>
      <w:textAlignment w:val="baseline"/>
    </w:pPr>
    <w:rPr>
      <w:rFonts w:hAnsi="宋体"/>
      <w:sz w:val="21"/>
    </w:rPr>
  </w:style>
  <w:style w:type="paragraph" w:customStyle="1" w:styleId="149">
    <w:name w:val="图片文字"/>
    <w:basedOn w:val="1"/>
    <w:qFormat/>
    <w:uiPriority w:val="0"/>
    <w:pPr>
      <w:spacing w:line="240" w:lineRule="atLeast"/>
      <w:jc w:val="center"/>
    </w:pPr>
    <w:rPr>
      <w:rFonts w:ascii="Times New Roman"/>
      <w:kern w:val="2"/>
      <w:sz w:val="21"/>
    </w:rPr>
  </w:style>
  <w:style w:type="paragraph" w:customStyle="1" w:styleId="150">
    <w:name w:val="Char"/>
    <w:basedOn w:val="1"/>
    <w:qFormat/>
    <w:uiPriority w:val="0"/>
    <w:pPr>
      <w:spacing w:line="240" w:lineRule="atLeast"/>
      <w:ind w:left="420" w:firstLine="420"/>
    </w:pPr>
    <w:rPr>
      <w:rFonts w:ascii="Times New Roman"/>
      <w:sz w:val="21"/>
    </w:rPr>
  </w:style>
  <w:style w:type="paragraph" w:customStyle="1" w:styleId="151">
    <w:name w:val="表头样式"/>
    <w:basedOn w:val="1"/>
    <w:qFormat/>
    <w:uiPriority w:val="0"/>
    <w:pPr>
      <w:autoSpaceDE w:val="0"/>
      <w:autoSpaceDN w:val="0"/>
      <w:adjustRightInd w:val="0"/>
      <w:spacing w:line="360" w:lineRule="auto"/>
      <w:jc w:val="left"/>
    </w:pPr>
    <w:rPr>
      <w:rFonts w:ascii="Times New Roman"/>
      <w:b/>
      <w:sz w:val="21"/>
    </w:rPr>
  </w:style>
  <w:style w:type="paragraph" w:customStyle="1" w:styleId="152">
    <w:name w:val="样式2"/>
    <w:basedOn w:val="5"/>
    <w:qFormat/>
    <w:uiPriority w:val="0"/>
    <w:pPr>
      <w:numPr>
        <w:ilvl w:val="0"/>
        <w:numId w:val="8"/>
      </w:numPr>
      <w:spacing w:line="400" w:lineRule="exact"/>
      <w:jc w:val="center"/>
      <w:outlineLvl w:val="0"/>
    </w:pPr>
    <w:rPr>
      <w:b w:val="0"/>
      <w:sz w:val="44"/>
    </w:rPr>
  </w:style>
  <w:style w:type="paragraph" w:customStyle="1" w:styleId="153">
    <w:name w:val="样式 首行缩进:  0.74 厘米"/>
    <w:basedOn w:val="1"/>
    <w:qFormat/>
    <w:uiPriority w:val="0"/>
    <w:pPr>
      <w:spacing w:line="360" w:lineRule="auto"/>
      <w:ind w:firstLine="420"/>
    </w:pPr>
    <w:rPr>
      <w:rFonts w:ascii="Times New Roman"/>
      <w:kern w:val="2"/>
      <w:sz w:val="24"/>
    </w:rPr>
  </w:style>
  <w:style w:type="paragraph" w:customStyle="1" w:styleId="154">
    <w:name w:val="AA Numbering"/>
    <w:basedOn w:val="1"/>
    <w:qFormat/>
    <w:uiPriority w:val="0"/>
    <w:pPr>
      <w:widowControl/>
      <w:tabs>
        <w:tab w:val="left" w:pos="1134"/>
        <w:tab w:val="left" w:pos="1280"/>
      </w:tabs>
      <w:adjustRightInd w:val="0"/>
      <w:snapToGrid w:val="0"/>
      <w:spacing w:line="280" w:lineRule="atLeast"/>
      <w:jc w:val="left"/>
    </w:pPr>
    <w:rPr>
      <w:rFonts w:ascii="Times New Roman" w:eastAsia="PMingLiU"/>
      <w:sz w:val="24"/>
      <w:lang w:eastAsia="zh-TW"/>
    </w:rPr>
  </w:style>
  <w:style w:type="paragraph" w:customStyle="1" w:styleId="155">
    <w:name w:val="正文（首行不缩进）"/>
    <w:basedOn w:val="1"/>
    <w:qFormat/>
    <w:uiPriority w:val="0"/>
    <w:pPr>
      <w:autoSpaceDE w:val="0"/>
      <w:autoSpaceDN w:val="0"/>
      <w:adjustRightInd w:val="0"/>
      <w:spacing w:line="360" w:lineRule="auto"/>
      <w:jc w:val="left"/>
    </w:pPr>
    <w:rPr>
      <w:rFonts w:ascii="Times New Roman"/>
      <w:sz w:val="21"/>
    </w:rPr>
  </w:style>
  <w:style w:type="paragraph" w:customStyle="1" w:styleId="156">
    <w:name w:val="Char Char 字元 字元 字元 Char Char Char Char"/>
    <w:basedOn w:val="1"/>
    <w:qFormat/>
    <w:uiPriority w:val="0"/>
    <w:pPr>
      <w:adjustRightInd w:val="0"/>
      <w:spacing w:line="360" w:lineRule="auto"/>
    </w:pPr>
    <w:rPr>
      <w:rFonts w:ascii="Times New Roman"/>
      <w:sz w:val="24"/>
    </w:rPr>
  </w:style>
  <w:style w:type="paragraph" w:customStyle="1" w:styleId="157">
    <w:name w:val="默认段落字体 Para Char Char Char Char Char Char Char"/>
    <w:basedOn w:val="1"/>
    <w:qFormat/>
    <w:uiPriority w:val="0"/>
    <w:rPr>
      <w:rFonts w:ascii="Tahoma" w:hAnsi="Tahoma"/>
      <w:kern w:val="2"/>
      <w:sz w:val="24"/>
    </w:rPr>
  </w:style>
  <w:style w:type="paragraph" w:customStyle="1" w:styleId="158">
    <w:name w:val="content"/>
    <w:basedOn w:val="1"/>
    <w:qFormat/>
    <w:uiPriority w:val="0"/>
    <w:pPr>
      <w:widowControl/>
      <w:spacing w:before="100" w:beforeAutospacing="1" w:after="100" w:afterAutospacing="1" w:line="280" w:lineRule="atLeast"/>
      <w:ind w:firstLine="375"/>
      <w:jc w:val="left"/>
    </w:pPr>
    <w:rPr>
      <w:rFonts w:hAnsi="宋体"/>
      <w:color w:val="000000"/>
      <w:sz w:val="18"/>
    </w:rPr>
  </w:style>
  <w:style w:type="paragraph" w:customStyle="1" w:styleId="159">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rFonts w:ascii="Times New Roman"/>
      <w:b/>
      <w:i/>
      <w:kern w:val="2"/>
      <w:sz w:val="24"/>
    </w:rPr>
  </w:style>
  <w:style w:type="paragraph" w:customStyle="1" w:styleId="160">
    <w:name w:val="样式 行距: 1.5 倍行距1"/>
    <w:basedOn w:val="1"/>
    <w:qFormat/>
    <w:uiPriority w:val="0"/>
    <w:pPr>
      <w:snapToGrid w:val="0"/>
    </w:pPr>
    <w:rPr>
      <w:rFonts w:ascii="Times New Roman"/>
      <w:kern w:val="2"/>
      <w:sz w:val="21"/>
    </w:rPr>
  </w:style>
  <w:style w:type="paragraph" w:customStyle="1" w:styleId="161">
    <w:name w:val="Table Contents"/>
    <w:basedOn w:val="22"/>
    <w:qFormat/>
    <w:uiPriority w:val="0"/>
    <w:pPr>
      <w:suppressAutoHyphens/>
      <w:spacing w:after="0"/>
      <w:jc w:val="left"/>
    </w:pPr>
    <w:rPr>
      <w:rFonts w:ascii="Times New Roman" w:eastAsia="Times New Roman"/>
      <w:sz w:val="24"/>
    </w:rPr>
  </w:style>
  <w:style w:type="paragraph" w:customStyle="1" w:styleId="162">
    <w:name w:val="样式 正文首行缩进 2 + 首行缩进:  2 字符"/>
    <w:basedOn w:val="1"/>
    <w:qFormat/>
    <w:uiPriority w:val="0"/>
    <w:pPr>
      <w:numPr>
        <w:ilvl w:val="0"/>
        <w:numId w:val="9"/>
      </w:numPr>
      <w:tabs>
        <w:tab w:val="left" w:pos="987"/>
      </w:tabs>
      <w:adjustRightInd w:val="0"/>
      <w:snapToGrid w:val="0"/>
      <w:spacing w:line="360" w:lineRule="auto"/>
    </w:pPr>
    <w:rPr>
      <w:rFonts w:ascii="Arial" w:hAnsi="Arial"/>
      <w:b/>
      <w:kern w:val="2"/>
      <w:sz w:val="24"/>
    </w:rPr>
  </w:style>
  <w:style w:type="paragraph" w:customStyle="1" w:styleId="163">
    <w:name w:val="摘要"/>
    <w:basedOn w:val="1"/>
    <w:next w:val="3"/>
    <w:qFormat/>
    <w:uiPriority w:val="0"/>
    <w:pPr>
      <w:spacing w:line="360" w:lineRule="auto"/>
    </w:pPr>
    <w:rPr>
      <w:rFonts w:ascii="Times New Roman" w:eastAsia="黑体"/>
      <w:kern w:val="2"/>
      <w:sz w:val="20"/>
    </w:rPr>
  </w:style>
  <w:style w:type="paragraph" w:customStyle="1" w:styleId="164">
    <w:name w:val="正文表格"/>
    <w:basedOn w:val="1"/>
    <w:qFormat/>
    <w:uiPriority w:val="0"/>
    <w:pPr>
      <w:adjustRightInd w:val="0"/>
      <w:spacing w:before="40" w:after="40"/>
    </w:pPr>
    <w:rPr>
      <w:rFonts w:ascii="Times New Roman"/>
      <w:kern w:val="2"/>
      <w:sz w:val="24"/>
    </w:rPr>
  </w:style>
  <w:style w:type="paragraph" w:customStyle="1" w:styleId="165">
    <w:name w:val="文档正文"/>
    <w:basedOn w:val="1"/>
    <w:qFormat/>
    <w:uiPriority w:val="0"/>
    <w:pPr>
      <w:adjustRightInd w:val="0"/>
      <w:snapToGrid w:val="0"/>
      <w:spacing w:line="440" w:lineRule="exact"/>
      <w:ind w:firstLine="567"/>
      <w:textAlignment w:val="baseline"/>
    </w:pPr>
    <w:rPr>
      <w:rFonts w:ascii="Arial Narrow" w:hAnsi="Arial Narrow"/>
      <w:sz w:val="24"/>
    </w:rPr>
  </w:style>
  <w:style w:type="paragraph" w:customStyle="1" w:styleId="166">
    <w:name w:val="文章正文"/>
    <w:basedOn w:val="1"/>
    <w:qFormat/>
    <w:uiPriority w:val="0"/>
    <w:pPr>
      <w:ind w:firstLine="560" w:firstLineChars="200"/>
    </w:pPr>
    <w:rPr>
      <w:rFonts w:ascii="仿宋_GB2312" w:hAnsi="宋体" w:eastAsia="仿宋_GB2312"/>
      <w:color w:val="000000"/>
      <w:kern w:val="2"/>
      <w:sz w:val="28"/>
    </w:rPr>
  </w:style>
  <w:style w:type="paragraph" w:customStyle="1" w:styleId="167">
    <w:name w:val="表号"/>
    <w:basedOn w:val="1"/>
    <w:qFormat/>
    <w:uiPriority w:val="0"/>
    <w:pPr>
      <w:numPr>
        <w:ilvl w:val="0"/>
        <w:numId w:val="10"/>
      </w:numPr>
      <w:tabs>
        <w:tab w:val="left" w:pos="648"/>
      </w:tabs>
      <w:autoSpaceDE w:val="0"/>
      <w:autoSpaceDN w:val="0"/>
      <w:adjustRightInd w:val="0"/>
      <w:spacing w:before="210" w:after="210"/>
      <w:ind w:left="425" w:hanging="137"/>
      <w:jc w:val="center"/>
    </w:pPr>
    <w:rPr>
      <w:rFonts w:ascii="Times New Roman"/>
      <w:sz w:val="21"/>
      <w:lang w:eastAsia="en-US"/>
    </w:rPr>
  </w:style>
  <w:style w:type="paragraph" w:customStyle="1" w:styleId="168">
    <w:name w:val="Item List"/>
    <w:qFormat/>
    <w:uiPriority w:val="0"/>
    <w:pPr>
      <w:numPr>
        <w:ilvl w:val="0"/>
        <w:numId w:val="11"/>
      </w:numPr>
      <w:tabs>
        <w:tab w:val="left" w:pos="1644"/>
      </w:tabs>
      <w:spacing w:line="300" w:lineRule="auto"/>
      <w:jc w:val="both"/>
    </w:pPr>
    <w:rPr>
      <w:rFonts w:ascii="Arial" w:hAnsi="Arial" w:eastAsia="宋体" w:cs="Times New Roman"/>
      <w:sz w:val="21"/>
      <w:lang w:val="en-US" w:eastAsia="zh-CN" w:bidi="ar-SA"/>
    </w:rPr>
  </w:style>
  <w:style w:type="paragraph" w:customStyle="1" w:styleId="169">
    <w:name w:val="Item Step in Table"/>
    <w:qFormat/>
    <w:uiPriority w:val="0"/>
    <w:pPr>
      <w:numPr>
        <w:ilvl w:val="0"/>
        <w:numId w:val="12"/>
      </w:numPr>
      <w:tabs>
        <w:tab w:val="left" w:pos="397"/>
      </w:tabs>
      <w:spacing w:before="40" w:after="40"/>
      <w:jc w:val="both"/>
    </w:pPr>
    <w:rPr>
      <w:rFonts w:ascii="Arial" w:hAnsi="Arial" w:eastAsia="宋体" w:cs="Times New Roman"/>
      <w:sz w:val="18"/>
      <w:lang w:val="en-US" w:eastAsia="zh-CN" w:bidi="ar-SA"/>
    </w:rPr>
  </w:style>
  <w:style w:type="paragraph" w:customStyle="1" w:styleId="170">
    <w:name w:val="Style Heading 3h3Heading 3 - oldLevel 3 HeadH3level_3PIM 3se..."/>
    <w:basedOn w:val="4"/>
    <w:qFormat/>
    <w:uiPriority w:val="0"/>
    <w:pPr>
      <w:numPr>
        <w:ilvl w:val="2"/>
        <w:numId w:val="7"/>
      </w:numPr>
      <w:tabs>
        <w:tab w:val="left" w:pos="709"/>
      </w:tabs>
      <w:spacing w:line="413" w:lineRule="auto"/>
    </w:pPr>
    <w:rPr>
      <w:bCs w:val="0"/>
      <w:szCs w:val="20"/>
    </w:rPr>
  </w:style>
  <w:style w:type="paragraph" w:customStyle="1" w:styleId="171">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72">
    <w:name w:val="段落正文"/>
    <w:basedOn w:val="1"/>
    <w:qFormat/>
    <w:uiPriority w:val="0"/>
    <w:pPr>
      <w:spacing w:before="156" w:beforeLines="50" w:line="360" w:lineRule="auto"/>
      <w:ind w:firstLine="200" w:firstLineChars="200"/>
    </w:pPr>
    <w:rPr>
      <w:rFonts w:ascii="Times New Roman"/>
      <w:spacing w:val="2"/>
      <w:kern w:val="2"/>
      <w:sz w:val="24"/>
    </w:rPr>
  </w:style>
  <w:style w:type="paragraph" w:customStyle="1" w:styleId="173">
    <w:name w:val="标题2"/>
    <w:basedOn w:val="3"/>
    <w:qFormat/>
    <w:uiPriority w:val="0"/>
    <w:pPr>
      <w:keepNext w:val="0"/>
      <w:keepLines w:val="0"/>
      <w:adjustRightInd w:val="0"/>
      <w:snapToGrid w:val="0"/>
      <w:spacing w:line="360" w:lineRule="auto"/>
      <w:ind w:firstLine="574" w:firstLineChars="196"/>
      <w:jc w:val="both"/>
      <w:outlineLvl w:val="9"/>
    </w:pPr>
    <w:rPr>
      <w:rFonts w:ascii="宋体" w:hAnsi="宋体"/>
      <w:b/>
      <w:bCs w:val="0"/>
      <w:spacing w:val="6"/>
      <w:szCs w:val="20"/>
      <w:u w:val="single"/>
    </w:rPr>
  </w:style>
  <w:style w:type="paragraph" w:customStyle="1" w:styleId="174">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75">
    <w:name w:val="附录1"/>
    <w:basedOn w:val="1"/>
    <w:next w:val="1"/>
    <w:qFormat/>
    <w:uiPriority w:val="0"/>
    <w:pPr>
      <w:tabs>
        <w:tab w:val="left" w:pos="1304"/>
      </w:tabs>
      <w:ind w:left="425" w:hanging="425"/>
      <w:outlineLvl w:val="0"/>
    </w:pPr>
    <w:rPr>
      <w:rFonts w:ascii="黑体" w:hAnsi="黑体" w:eastAsia="黑体"/>
      <w:b/>
      <w:kern w:val="2"/>
      <w:sz w:val="44"/>
    </w:rPr>
  </w:style>
  <w:style w:type="paragraph" w:customStyle="1" w:styleId="176">
    <w:name w:val="Char Char Char Char Char Char Char"/>
    <w:basedOn w:val="17"/>
    <w:qFormat/>
    <w:uiPriority w:val="0"/>
    <w:rPr>
      <w:rFonts w:ascii="宋体" w:hAnsi="Tahoma"/>
    </w:rPr>
  </w:style>
  <w:style w:type="paragraph" w:customStyle="1" w:styleId="177">
    <w:name w:val="操作步骤"/>
    <w:basedOn w:val="1"/>
    <w:qFormat/>
    <w:uiPriority w:val="0"/>
    <w:pPr>
      <w:numPr>
        <w:ilvl w:val="0"/>
        <w:numId w:val="13"/>
      </w:numPr>
      <w:tabs>
        <w:tab w:val="left" w:pos="425"/>
      </w:tabs>
      <w:autoSpaceDE w:val="0"/>
      <w:autoSpaceDN w:val="0"/>
      <w:adjustRightInd w:val="0"/>
      <w:snapToGrid w:val="0"/>
      <w:spacing w:line="40" w:lineRule="atLeast"/>
      <w:textAlignment w:val="bottom"/>
    </w:pPr>
    <w:rPr>
      <w:rFonts w:ascii="昆仑楷体" w:eastAsia="楷体_GB2312"/>
      <w:sz w:val="21"/>
    </w:rPr>
  </w:style>
  <w:style w:type="paragraph" w:customStyle="1" w:styleId="178">
    <w:name w:val="Char Char1 Char Char Char Char Char Char Char Char"/>
    <w:basedOn w:val="1"/>
    <w:qFormat/>
    <w:uiPriority w:val="0"/>
    <w:pPr>
      <w:widowControl/>
      <w:spacing w:after="160" w:line="240" w:lineRule="exact"/>
      <w:jc w:val="left"/>
    </w:pPr>
    <w:rPr>
      <w:rFonts w:ascii="Verdana" w:hAnsi="Verdana"/>
      <w:sz w:val="20"/>
      <w:lang w:eastAsia="en-US"/>
    </w:rPr>
  </w:style>
  <w:style w:type="paragraph" w:customStyle="1" w:styleId="179">
    <w:name w:val="样式 标题 1章标题Heading 0Section HeadPIM 1H1h11st levell11H1..."/>
    <w:basedOn w:val="2"/>
    <w:qFormat/>
    <w:uiPriority w:val="0"/>
    <w:pPr>
      <w:pageBreakBefore/>
      <w:tabs>
        <w:tab w:val="left" w:pos="432"/>
      </w:tabs>
      <w:autoSpaceDE w:val="0"/>
      <w:autoSpaceDN w:val="0"/>
      <w:adjustRightInd w:val="0"/>
      <w:snapToGrid w:val="0"/>
      <w:spacing w:before="340" w:after="330" w:line="578" w:lineRule="atLeast"/>
      <w:jc w:val="both"/>
      <w:textAlignment w:val="bottom"/>
    </w:pPr>
    <w:rPr>
      <w:rFonts w:ascii="宋体" w:hAnsi="宋体" w:eastAsia="黑体"/>
      <w:bCs w:val="0"/>
      <w:sz w:val="36"/>
      <w:szCs w:val="20"/>
    </w:rPr>
  </w:style>
  <w:style w:type="paragraph" w:customStyle="1" w:styleId="180">
    <w:name w:val="表格文本"/>
    <w:qFormat/>
    <w:uiPriority w:val="0"/>
    <w:pPr>
      <w:tabs>
        <w:tab w:val="decimal" w:pos="0"/>
      </w:tabs>
    </w:pPr>
    <w:rPr>
      <w:rFonts w:ascii="Arial" w:hAnsi="Arial" w:eastAsia="宋体" w:cs="Times New Roman"/>
      <w:sz w:val="21"/>
      <w:lang w:val="en-US" w:eastAsia="zh-CN" w:bidi="ar-SA"/>
    </w:rPr>
  </w:style>
  <w:style w:type="paragraph" w:customStyle="1" w:styleId="181">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ascii="Times New Roman" w:eastAsia="仿宋_GB2312"/>
      <w:sz w:val="24"/>
    </w:rPr>
  </w:style>
  <w:style w:type="paragraph" w:customStyle="1" w:styleId="182">
    <w:name w:val="Char Char Char"/>
    <w:basedOn w:val="1"/>
    <w:qFormat/>
    <w:uiPriority w:val="0"/>
    <w:rPr>
      <w:rFonts w:ascii="Tahoma" w:hAnsi="Tahoma"/>
      <w:kern w:val="2"/>
      <w:sz w:val="24"/>
    </w:rPr>
  </w:style>
  <w:style w:type="paragraph" w:customStyle="1" w:styleId="183">
    <w:name w:val="Char Char Char Char Char Char Char Char Char Char Char Char Char"/>
    <w:basedOn w:val="1"/>
    <w:qFormat/>
    <w:uiPriority w:val="0"/>
    <w:pPr>
      <w:widowControl/>
      <w:spacing w:after="160" w:line="240" w:lineRule="exact"/>
      <w:jc w:val="left"/>
    </w:pPr>
    <w:rPr>
      <w:rFonts w:ascii="Verdana" w:hAnsi="Verdana" w:eastAsia="仿宋_GB2312"/>
      <w:sz w:val="24"/>
      <w:lang w:eastAsia="en-US"/>
    </w:rPr>
  </w:style>
  <w:style w:type="paragraph" w:customStyle="1" w:styleId="184">
    <w:name w:val="二级列表"/>
    <w:basedOn w:val="172"/>
    <w:next w:val="172"/>
    <w:qFormat/>
    <w:uiPriority w:val="0"/>
    <w:pPr>
      <w:tabs>
        <w:tab w:val="left" w:pos="2120"/>
      </w:tabs>
      <w:ind w:firstLine="0" w:firstLineChars="0"/>
    </w:pPr>
    <w:rPr>
      <w:b/>
    </w:rPr>
  </w:style>
  <w:style w:type="paragraph" w:customStyle="1" w:styleId="185">
    <w:name w:val="样式 正文缩进正文（首行缩进两字）表正文正文非缩进特点标题4段1 + 首行缩进:  2 字符"/>
    <w:basedOn w:val="15"/>
    <w:qFormat/>
    <w:uiPriority w:val="0"/>
    <w:pPr>
      <w:ind w:firstLine="480" w:firstLineChars="200"/>
    </w:pPr>
  </w:style>
  <w:style w:type="paragraph" w:customStyle="1" w:styleId="186">
    <w:name w:val="Char Char1"/>
    <w:basedOn w:val="1"/>
    <w:qFormat/>
    <w:uiPriority w:val="0"/>
    <w:pPr>
      <w:widowControl/>
      <w:spacing w:after="160" w:line="240" w:lineRule="exact"/>
      <w:jc w:val="left"/>
    </w:pPr>
    <w:rPr>
      <w:rFonts w:ascii="Verdana" w:hAnsi="Verdana"/>
      <w:sz w:val="20"/>
      <w:lang w:eastAsia="en-US"/>
    </w:rPr>
  </w:style>
  <w:style w:type="paragraph" w:customStyle="1" w:styleId="187">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8">
    <w:name w:val="没有缩进（为图形使用）"/>
    <w:basedOn w:val="1"/>
    <w:qFormat/>
    <w:uiPriority w:val="0"/>
    <w:pPr>
      <w:spacing w:before="120" w:after="120" w:line="360" w:lineRule="auto"/>
    </w:pPr>
    <w:rPr>
      <w:rFonts w:ascii="Times New Roman"/>
      <w:kern w:val="2"/>
      <w:sz w:val="24"/>
    </w:rPr>
  </w:style>
  <w:style w:type="paragraph" w:customStyle="1" w:styleId="189">
    <w:name w:val="正文字缩2字"/>
    <w:basedOn w:val="1"/>
    <w:qFormat/>
    <w:uiPriority w:val="0"/>
    <w:pPr>
      <w:spacing w:before="60" w:after="60" w:line="360" w:lineRule="auto"/>
      <w:ind w:left="200" w:leftChars="200" w:firstLine="200" w:firstLineChars="200"/>
    </w:pPr>
    <w:rPr>
      <w:rFonts w:ascii="Times New Roman"/>
      <w:kern w:val="2"/>
      <w:sz w:val="24"/>
    </w:rPr>
  </w:style>
  <w:style w:type="paragraph" w:customStyle="1" w:styleId="190">
    <w:name w:val="Note"/>
    <w:basedOn w:val="1"/>
    <w:qFormat/>
    <w:uiPriority w:val="0"/>
    <w:pPr>
      <w:pBdr>
        <w:top w:val="single" w:color="auto" w:sz="12" w:space="3"/>
        <w:bottom w:val="single" w:color="auto" w:sz="12" w:space="3"/>
      </w:pBdr>
      <w:spacing w:line="360" w:lineRule="auto"/>
    </w:pPr>
    <w:rPr>
      <w:rFonts w:ascii="Times New Roman"/>
      <w:kern w:val="2"/>
      <w:sz w:val="24"/>
    </w:rPr>
  </w:style>
  <w:style w:type="paragraph" w:customStyle="1" w:styleId="191">
    <w:name w:val="IN Feature"/>
    <w:next w:val="192"/>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192">
    <w:name w:val="IN Step"/>
    <w:basedOn w:val="1"/>
    <w:qFormat/>
    <w:uiPriority w:val="0"/>
    <w:pPr>
      <w:keepLines/>
      <w:widowControl/>
      <w:tabs>
        <w:tab w:val="left" w:pos="1134"/>
      </w:tabs>
      <w:spacing w:before="80" w:after="80" w:line="300" w:lineRule="auto"/>
      <w:ind w:left="1134" w:hanging="907"/>
      <w:outlineLvl w:val="8"/>
    </w:pPr>
    <w:rPr>
      <w:rFonts w:ascii="Arial" w:hAnsi="Arial"/>
      <w:sz w:val="21"/>
    </w:rPr>
  </w:style>
  <w:style w:type="paragraph" w:customStyle="1" w:styleId="193">
    <w:name w:val="1"/>
    <w:basedOn w:val="1"/>
    <w:qFormat/>
    <w:uiPriority w:val="0"/>
    <w:rPr>
      <w:rFonts w:ascii="Tahoma" w:hAnsi="Tahoma"/>
      <w:kern w:val="2"/>
      <w:sz w:val="24"/>
    </w:rPr>
  </w:style>
  <w:style w:type="paragraph" w:customStyle="1" w:styleId="194">
    <w:name w:val="项目"/>
    <w:basedOn w:val="1"/>
    <w:qFormat/>
    <w:uiPriority w:val="0"/>
    <w:pPr>
      <w:tabs>
        <w:tab w:val="left" w:pos="1280"/>
      </w:tabs>
      <w:spacing w:before="120" w:after="120" w:line="360" w:lineRule="auto"/>
      <w:ind w:left="-7" w:firstLine="567"/>
      <w:jc w:val="left"/>
      <w:textAlignment w:val="baseline"/>
    </w:pPr>
    <w:rPr>
      <w:sz w:val="24"/>
    </w:rPr>
  </w:style>
  <w:style w:type="paragraph" w:customStyle="1" w:styleId="195">
    <w:name w:val="样式1xz"/>
    <w:basedOn w:val="1"/>
    <w:qFormat/>
    <w:uiPriority w:val="0"/>
    <w:pPr>
      <w:tabs>
        <w:tab w:val="left" w:pos="1050"/>
        <w:tab w:val="right" w:leader="dot" w:pos="8296"/>
      </w:tabs>
    </w:pPr>
    <w:rPr>
      <w:rFonts w:ascii="Times New Roman"/>
      <w:caps/>
      <w:spacing w:val="20"/>
      <w:kern w:val="2"/>
      <w:sz w:val="24"/>
    </w:rPr>
  </w:style>
  <w:style w:type="paragraph" w:customStyle="1" w:styleId="196">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hAnsi="宋体"/>
      <w:sz w:val="21"/>
    </w:rPr>
  </w:style>
  <w:style w:type="paragraph" w:customStyle="1" w:styleId="197">
    <w:name w:val="附录3"/>
    <w:basedOn w:val="1"/>
    <w:next w:val="1"/>
    <w:qFormat/>
    <w:uiPriority w:val="0"/>
    <w:pPr>
      <w:tabs>
        <w:tab w:val="left" w:pos="851"/>
      </w:tabs>
      <w:ind w:left="425" w:hanging="425"/>
      <w:outlineLvl w:val="2"/>
    </w:pPr>
    <w:rPr>
      <w:rFonts w:ascii="Times New Roman" w:eastAsia="黑体"/>
      <w:b/>
      <w:kern w:val="2"/>
      <w:sz w:val="32"/>
    </w:rPr>
  </w:style>
  <w:style w:type="paragraph" w:customStyle="1" w:styleId="198">
    <w:name w:val="xl40"/>
    <w:basedOn w:val="1"/>
    <w:qFormat/>
    <w:uiPriority w:val="0"/>
    <w:pPr>
      <w:widowControl/>
      <w:pBdr>
        <w:left w:val="single" w:color="auto" w:sz="4" w:space="0"/>
        <w:right w:val="single" w:color="auto" w:sz="4" w:space="0"/>
      </w:pBdr>
      <w:spacing w:before="100" w:beforeAutospacing="1" w:after="100" w:afterAutospacing="1"/>
      <w:jc w:val="center"/>
    </w:pPr>
    <w:rPr>
      <w:rFonts w:hAnsi="宋体"/>
      <w:sz w:val="24"/>
    </w:rPr>
  </w:style>
  <w:style w:type="paragraph" w:customStyle="1" w:styleId="199">
    <w:name w:val="Char Char Char Char Char Char1 Char"/>
    <w:basedOn w:val="1"/>
    <w:qFormat/>
    <w:uiPriority w:val="0"/>
    <w:pPr>
      <w:widowControl/>
      <w:spacing w:after="160" w:line="240" w:lineRule="exact"/>
      <w:jc w:val="left"/>
    </w:pPr>
    <w:rPr>
      <w:rFonts w:ascii="Verdana" w:hAnsi="Verdana"/>
      <w:sz w:val="21"/>
      <w:lang w:eastAsia="en-US"/>
    </w:rPr>
  </w:style>
  <w:style w:type="paragraph" w:customStyle="1" w:styleId="200">
    <w:name w:val="正文1"/>
    <w:basedOn w:val="1"/>
    <w:qFormat/>
    <w:uiPriority w:val="0"/>
    <w:pPr>
      <w:spacing w:line="300" w:lineRule="auto"/>
      <w:ind w:firstLine="200" w:firstLineChars="200"/>
    </w:pPr>
    <w:rPr>
      <w:rFonts w:ascii="Times New Roman"/>
      <w:kern w:val="2"/>
      <w:sz w:val="24"/>
    </w:rPr>
  </w:style>
  <w:style w:type="paragraph" w:customStyle="1" w:styleId="201">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202">
    <w:name w:val="首行缩进"/>
    <w:basedOn w:val="1"/>
    <w:qFormat/>
    <w:uiPriority w:val="0"/>
    <w:pPr>
      <w:spacing w:line="360" w:lineRule="auto"/>
      <w:ind w:firstLine="420" w:firstLineChars="200"/>
    </w:pPr>
    <w:rPr>
      <w:rFonts w:ascii="Times New Roman"/>
      <w:kern w:val="2"/>
      <w:sz w:val="21"/>
    </w:rPr>
  </w:style>
  <w:style w:type="paragraph" w:customStyle="1" w:styleId="203">
    <w:name w:val="首行缩进 1"/>
    <w:basedOn w:val="1"/>
    <w:qFormat/>
    <w:uiPriority w:val="0"/>
    <w:pPr>
      <w:spacing w:after="120" w:line="360" w:lineRule="auto"/>
      <w:ind w:firstLine="200" w:firstLineChars="200"/>
    </w:pPr>
    <w:rPr>
      <w:rFonts w:ascii="Times New Roman"/>
      <w:kern w:val="2"/>
      <w:sz w:val="24"/>
    </w:rPr>
  </w:style>
  <w:style w:type="paragraph" w:customStyle="1" w:styleId="204">
    <w:name w:val="_"/>
    <w:basedOn w:val="1"/>
    <w:qFormat/>
    <w:uiPriority w:val="0"/>
    <w:pPr>
      <w:adjustRightInd w:val="0"/>
      <w:spacing w:line="360" w:lineRule="auto"/>
      <w:ind w:left="480" w:firstLine="200" w:firstLineChars="200"/>
      <w:textAlignment w:val="baseline"/>
    </w:pPr>
    <w:rPr>
      <w:rFonts w:ascii="Times New Roman"/>
      <w:sz w:val="24"/>
    </w:rPr>
  </w:style>
  <w:style w:type="paragraph" w:customStyle="1" w:styleId="205">
    <w:name w:val="正文文本 21"/>
    <w:basedOn w:val="1"/>
    <w:qFormat/>
    <w:uiPriority w:val="0"/>
    <w:pPr>
      <w:adjustRightInd w:val="0"/>
      <w:spacing w:before="120" w:line="360" w:lineRule="auto"/>
      <w:ind w:firstLine="480"/>
      <w:textAlignment w:val="baseline"/>
    </w:pPr>
    <w:rPr>
      <w:rFonts w:ascii="Times New Roman"/>
      <w:kern w:val="2"/>
      <w:sz w:val="24"/>
    </w:rPr>
  </w:style>
  <w:style w:type="paragraph" w:customStyle="1" w:styleId="206">
    <w:name w:val="表格内文字"/>
    <w:basedOn w:val="31"/>
    <w:qFormat/>
    <w:uiPriority w:val="0"/>
    <w:pPr>
      <w:adjustRightInd w:val="0"/>
    </w:pPr>
    <w:rPr>
      <w:color w:val="000000"/>
      <w:szCs w:val="20"/>
      <w:lang w:val="en-GB"/>
    </w:rPr>
  </w:style>
  <w:style w:type="paragraph" w:customStyle="1" w:styleId="207">
    <w:name w:val="正文4"/>
    <w:basedOn w:val="1"/>
    <w:qFormat/>
    <w:uiPriority w:val="0"/>
    <w:pPr>
      <w:tabs>
        <w:tab w:val="left" w:pos="1275"/>
      </w:tabs>
      <w:spacing w:before="60" w:after="60" w:line="360" w:lineRule="auto"/>
      <w:ind w:left="820" w:leftChars="400" w:hanging="705"/>
    </w:pPr>
    <w:rPr>
      <w:rFonts w:ascii="Times New Roman"/>
      <w:kern w:val="2"/>
      <w:sz w:val="24"/>
    </w:rPr>
  </w:style>
  <w:style w:type="paragraph" w:customStyle="1" w:styleId="208">
    <w:name w:val="文档正文 Char Char Char Char Char"/>
    <w:basedOn w:val="1"/>
    <w:qFormat/>
    <w:uiPriority w:val="0"/>
    <w:pPr>
      <w:adjustRightInd w:val="0"/>
      <w:spacing w:line="440" w:lineRule="exact"/>
      <w:ind w:firstLine="420"/>
      <w:textAlignment w:val="baseline"/>
    </w:pPr>
    <w:rPr>
      <w:rFonts w:ascii="Arial Narrow" w:hAnsi="Arial Narrow"/>
      <w:sz w:val="24"/>
    </w:rPr>
  </w:style>
  <w:style w:type="paragraph" w:customStyle="1" w:styleId="209">
    <w:name w:val="附录2"/>
    <w:basedOn w:val="1"/>
    <w:next w:val="1"/>
    <w:qFormat/>
    <w:uiPriority w:val="0"/>
    <w:pPr>
      <w:tabs>
        <w:tab w:val="left" w:pos="420"/>
        <w:tab w:val="left" w:pos="624"/>
      </w:tabs>
      <w:ind w:left="420" w:hanging="420"/>
      <w:outlineLvl w:val="1"/>
    </w:pPr>
    <w:rPr>
      <w:rFonts w:ascii="黑体" w:hAnsi="黑体" w:eastAsia="黑体"/>
      <w:b/>
      <w:kern w:val="2"/>
      <w:sz w:val="32"/>
    </w:rPr>
  </w:style>
  <w:style w:type="paragraph" w:customStyle="1" w:styleId="210">
    <w:name w:val="表文字"/>
    <w:qFormat/>
    <w:uiPriority w:val="0"/>
    <w:rPr>
      <w:rFonts w:ascii="宋体" w:hAnsi="Times New Roman" w:eastAsia="宋体" w:cs="Times New Roman"/>
      <w:kern w:val="2"/>
      <w:lang w:val="en-US" w:eastAsia="zh-CN" w:bidi="ar-SA"/>
    </w:rPr>
  </w:style>
  <w:style w:type="paragraph" w:customStyle="1" w:styleId="211">
    <w:name w:val="Char Char1 Char Char Char Char Char Char Char Char Char Char Char Char Char Char"/>
    <w:basedOn w:val="1"/>
    <w:qFormat/>
    <w:uiPriority w:val="0"/>
    <w:pPr>
      <w:widowControl/>
      <w:spacing w:after="160" w:line="240" w:lineRule="exact"/>
      <w:jc w:val="left"/>
    </w:pPr>
    <w:rPr>
      <w:rFonts w:ascii="Verdana" w:hAnsi="Verdana"/>
      <w:sz w:val="20"/>
      <w:lang w:eastAsia="en-US"/>
    </w:rPr>
  </w:style>
  <w:style w:type="paragraph" w:customStyle="1" w:styleId="212">
    <w:name w:val="默认段落字体 Para Char Char Char Char Char Char Char Char Char1 Char Char Char Char"/>
    <w:basedOn w:val="1"/>
    <w:qFormat/>
    <w:uiPriority w:val="0"/>
    <w:rPr>
      <w:rFonts w:ascii="Tahoma" w:hAnsi="Tahoma"/>
      <w:kern w:val="2"/>
      <w:sz w:val="24"/>
    </w:rPr>
  </w:style>
  <w:style w:type="paragraph" w:customStyle="1" w:styleId="213">
    <w:name w:val="tabletext"/>
    <w:basedOn w:val="1"/>
    <w:qFormat/>
    <w:uiPriority w:val="0"/>
    <w:pPr>
      <w:widowControl/>
      <w:spacing w:before="100" w:beforeAutospacing="1" w:after="100" w:afterAutospacing="1"/>
      <w:jc w:val="left"/>
    </w:pPr>
    <w:rPr>
      <w:rFonts w:hAnsi="宋体" w:cs="宋体"/>
      <w:sz w:val="24"/>
      <w:szCs w:val="24"/>
    </w:rPr>
  </w:style>
  <w:style w:type="paragraph" w:customStyle="1" w:styleId="214">
    <w:name w:val="样式 标题 1 + 居中 段前: 6 磅 段后: 6 磅 行距: 1.5 倍行距"/>
    <w:basedOn w:val="2"/>
    <w:qFormat/>
    <w:uiPriority w:val="0"/>
    <w:pPr>
      <w:adjustRightInd w:val="0"/>
      <w:snapToGrid w:val="0"/>
      <w:spacing w:before="120" w:after="156" w:afterLines="50" w:line="360" w:lineRule="auto"/>
    </w:pPr>
    <w:rPr>
      <w:rFonts w:eastAsia="宋体"/>
      <w:bCs w:val="0"/>
      <w:sz w:val="32"/>
      <w:szCs w:val="20"/>
    </w:rPr>
  </w:style>
  <w:style w:type="paragraph" w:customStyle="1" w:styleId="215">
    <w:name w:val="正文格式 Char"/>
    <w:basedOn w:val="1"/>
    <w:qFormat/>
    <w:uiPriority w:val="0"/>
    <w:pPr>
      <w:widowControl/>
      <w:adjustRightInd w:val="0"/>
      <w:spacing w:line="440" w:lineRule="atLeast"/>
      <w:ind w:firstLine="510"/>
      <w:textAlignment w:val="baseline"/>
    </w:pPr>
    <w:rPr>
      <w:rFonts w:ascii="Times New Roman"/>
      <w:sz w:val="24"/>
    </w:rPr>
  </w:style>
  <w:style w:type="paragraph" w:customStyle="1" w:styleId="216">
    <w:name w:val="样式 样式 首行缩进:  2 字符 + 首行缩进:  2 字符"/>
    <w:basedOn w:val="1"/>
    <w:qFormat/>
    <w:uiPriority w:val="0"/>
    <w:pPr>
      <w:numPr>
        <w:ilvl w:val="0"/>
        <w:numId w:val="14"/>
      </w:numPr>
      <w:spacing w:line="360" w:lineRule="auto"/>
      <w:ind w:firstLine="480" w:firstLineChars="200"/>
    </w:pPr>
    <w:rPr>
      <w:rFonts w:ascii="Times New Roman"/>
      <w:kern w:val="2"/>
      <w:sz w:val="24"/>
    </w:rPr>
  </w:style>
  <w:style w:type="paragraph" w:customStyle="1" w:styleId="217">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218">
    <w:name w:val="普通正文"/>
    <w:basedOn w:val="1"/>
    <w:qFormat/>
    <w:uiPriority w:val="0"/>
    <w:pPr>
      <w:adjustRightInd w:val="0"/>
      <w:spacing w:before="120" w:after="120" w:line="360" w:lineRule="auto"/>
      <w:ind w:firstLine="480"/>
      <w:jc w:val="left"/>
      <w:textAlignment w:val="baseline"/>
    </w:pPr>
    <w:rPr>
      <w:rFonts w:ascii="Arial" w:hAnsi="Arial"/>
      <w:sz w:val="24"/>
    </w:rPr>
  </w:style>
  <w:style w:type="paragraph" w:customStyle="1" w:styleId="219">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220">
    <w:name w:val="Title - Date"/>
    <w:basedOn w:val="53"/>
    <w:next w:val="1"/>
    <w:qFormat/>
    <w:uiPriority w:val="0"/>
    <w:pPr>
      <w:spacing w:before="240" w:after="720"/>
    </w:pPr>
    <w:rPr>
      <w:sz w:val="28"/>
    </w:rPr>
  </w:style>
  <w:style w:type="paragraph" w:customStyle="1" w:styleId="221">
    <w:name w:val="文档正文 Char Char Char Char"/>
    <w:basedOn w:val="1"/>
    <w:qFormat/>
    <w:uiPriority w:val="0"/>
    <w:pPr>
      <w:adjustRightInd w:val="0"/>
      <w:spacing w:line="440" w:lineRule="exact"/>
      <w:ind w:firstLine="420"/>
      <w:textAlignment w:val="baseline"/>
    </w:pPr>
    <w:rPr>
      <w:rFonts w:ascii="Arial Narrow" w:hAnsi="Arial Narrow"/>
      <w:sz w:val="24"/>
    </w:rPr>
  </w:style>
  <w:style w:type="paragraph" w:customStyle="1" w:styleId="222">
    <w:name w:val="样式 宋体 五号 行距: 单倍行距"/>
    <w:basedOn w:val="1"/>
    <w:qFormat/>
    <w:uiPriority w:val="0"/>
    <w:pPr>
      <w:adjustRightInd w:val="0"/>
      <w:jc w:val="left"/>
    </w:pPr>
    <w:rPr>
      <w:rFonts w:hAnsi="宋体"/>
      <w:sz w:val="21"/>
    </w:rPr>
  </w:style>
  <w:style w:type="paragraph" w:customStyle="1" w:styleId="223">
    <w:name w:val="编号正文"/>
    <w:basedOn w:val="165"/>
    <w:qFormat/>
    <w:uiPriority w:val="0"/>
    <w:pPr>
      <w:snapToGrid/>
      <w:spacing w:line="360" w:lineRule="auto"/>
      <w:ind w:left="1407" w:hanging="1047"/>
      <w:jc w:val="left"/>
    </w:pPr>
    <w:rPr>
      <w:rFonts w:eastAsia="仿宋_GB2312"/>
    </w:rPr>
  </w:style>
  <w:style w:type="paragraph" w:customStyle="1" w:styleId="224">
    <w:name w:val="Title - Revision"/>
    <w:basedOn w:val="53"/>
    <w:qFormat/>
    <w:uiPriority w:val="0"/>
    <w:pPr>
      <w:spacing w:before="720"/>
    </w:pPr>
  </w:style>
  <w:style w:type="paragraph" w:customStyle="1" w:styleId="225">
    <w:name w:val="列表项目"/>
    <w:basedOn w:val="1"/>
    <w:qFormat/>
    <w:uiPriority w:val="0"/>
    <w:pPr>
      <w:numPr>
        <w:ilvl w:val="0"/>
        <w:numId w:val="15"/>
      </w:numPr>
      <w:tabs>
        <w:tab w:val="left" w:pos="420"/>
      </w:tabs>
      <w:spacing w:line="288" w:lineRule="auto"/>
      <w:ind w:left="840" w:leftChars="200" w:hanging="420" w:hangingChars="200"/>
    </w:pPr>
    <w:rPr>
      <w:rFonts w:ascii="Times New Roman"/>
      <w:kern w:val="2"/>
      <w:sz w:val="21"/>
    </w:rPr>
  </w:style>
  <w:style w:type="paragraph" w:customStyle="1" w:styleId="226">
    <w:name w:val="样式4"/>
    <w:basedOn w:val="5"/>
    <w:qFormat/>
    <w:uiPriority w:val="0"/>
    <w:pPr>
      <w:numPr>
        <w:numId w:val="0"/>
      </w:numPr>
      <w:adjustRightInd w:val="0"/>
      <w:snapToGrid w:val="0"/>
      <w:spacing w:before="280" w:line="372" w:lineRule="auto"/>
    </w:pPr>
  </w:style>
  <w:style w:type="paragraph" w:customStyle="1" w:styleId="227">
    <w:name w:val="简单回函地址"/>
    <w:basedOn w:val="1"/>
    <w:qFormat/>
    <w:uiPriority w:val="0"/>
    <w:pPr>
      <w:adjustRightInd w:val="0"/>
      <w:snapToGrid w:val="0"/>
      <w:spacing w:line="360" w:lineRule="auto"/>
    </w:pPr>
    <w:rPr>
      <w:rFonts w:ascii="Times New Roman"/>
      <w:kern w:val="2"/>
      <w:sz w:val="24"/>
    </w:rPr>
  </w:style>
  <w:style w:type="paragraph" w:customStyle="1" w:styleId="228">
    <w:name w:val="标题5"/>
    <w:basedOn w:val="1"/>
    <w:qFormat/>
    <w:uiPriority w:val="0"/>
    <w:pPr>
      <w:tabs>
        <w:tab w:val="left" w:pos="0"/>
      </w:tabs>
      <w:autoSpaceDE w:val="0"/>
      <w:autoSpaceDN w:val="0"/>
      <w:adjustRightInd w:val="0"/>
      <w:snapToGrid w:val="0"/>
      <w:spacing w:line="320" w:lineRule="atLeast"/>
    </w:pPr>
    <w:rPr>
      <w:sz w:val="21"/>
    </w:rPr>
  </w:style>
  <w:style w:type="paragraph" w:customStyle="1" w:styleId="229">
    <w:name w:val="附录4"/>
    <w:basedOn w:val="1"/>
    <w:next w:val="1"/>
    <w:qFormat/>
    <w:uiPriority w:val="0"/>
    <w:pPr>
      <w:widowControl/>
      <w:tabs>
        <w:tab w:val="left" w:pos="1134"/>
      </w:tabs>
      <w:spacing w:line="300" w:lineRule="auto"/>
      <w:ind w:left="1361" w:hanging="1361"/>
      <w:outlineLvl w:val="3"/>
    </w:pPr>
    <w:rPr>
      <w:rFonts w:ascii="Arial" w:hAnsi="Arial" w:eastAsia="黑体"/>
      <w:sz w:val="28"/>
    </w:rPr>
  </w:style>
  <w:style w:type="paragraph" w:customStyle="1" w:styleId="230">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hAnsi="宋体"/>
      <w:sz w:val="24"/>
    </w:rPr>
  </w:style>
  <w:style w:type="paragraph" w:customStyle="1" w:styleId="231">
    <w:name w:val="图例"/>
    <w:basedOn w:val="1"/>
    <w:qFormat/>
    <w:uiPriority w:val="0"/>
    <w:pPr>
      <w:spacing w:before="120" w:after="120" w:line="360" w:lineRule="auto"/>
      <w:jc w:val="center"/>
    </w:pPr>
    <w:rPr>
      <w:rFonts w:ascii="Times New Roman" w:eastAsia="仿宋_GB2312"/>
      <w:b/>
      <w:kern w:val="2"/>
      <w:sz w:val="24"/>
    </w:rPr>
  </w:style>
  <w:style w:type="paragraph" w:customStyle="1" w:styleId="232">
    <w:name w:val="样式3"/>
    <w:basedOn w:val="2"/>
    <w:next w:val="2"/>
    <w:qFormat/>
    <w:uiPriority w:val="0"/>
    <w:pPr>
      <w:adjustRightInd w:val="0"/>
      <w:snapToGrid w:val="0"/>
      <w:spacing w:before="340" w:after="330" w:line="576" w:lineRule="auto"/>
      <w:jc w:val="both"/>
    </w:pPr>
    <w:rPr>
      <w:rFonts w:eastAsia="黑体"/>
      <w:bCs w:val="0"/>
      <w:szCs w:val="20"/>
    </w:rPr>
  </w:style>
  <w:style w:type="paragraph" w:customStyle="1" w:styleId="233">
    <w:name w:val="表头文本"/>
    <w:qFormat/>
    <w:uiPriority w:val="0"/>
    <w:pPr>
      <w:jc w:val="center"/>
    </w:pPr>
    <w:rPr>
      <w:rFonts w:ascii="Arial" w:hAnsi="Arial" w:eastAsia="宋体" w:cs="Times New Roman"/>
      <w:b/>
      <w:sz w:val="21"/>
      <w:lang w:val="en-US" w:eastAsia="zh-CN" w:bidi="ar-SA"/>
    </w:rPr>
  </w:style>
  <w:style w:type="paragraph" w:customStyle="1" w:styleId="234">
    <w:name w:val="正文 + 三号"/>
    <w:basedOn w:val="1"/>
    <w:qFormat/>
    <w:uiPriority w:val="0"/>
    <w:rPr>
      <w:rFonts w:ascii="Times New Roman"/>
      <w:kern w:val="2"/>
      <w:sz w:val="21"/>
    </w:rPr>
  </w:style>
  <w:style w:type="paragraph" w:customStyle="1" w:styleId="235">
    <w:name w:val="缺省文本"/>
    <w:basedOn w:val="1"/>
    <w:qFormat/>
    <w:uiPriority w:val="0"/>
    <w:pPr>
      <w:tabs>
        <w:tab w:val="left" w:pos="1260"/>
      </w:tabs>
      <w:autoSpaceDE w:val="0"/>
      <w:autoSpaceDN w:val="0"/>
      <w:adjustRightInd w:val="0"/>
      <w:spacing w:line="360" w:lineRule="auto"/>
      <w:jc w:val="left"/>
    </w:pPr>
    <w:rPr>
      <w:rFonts w:ascii="Times New Roman"/>
      <w:sz w:val="24"/>
    </w:rPr>
  </w:style>
  <w:style w:type="paragraph" w:customStyle="1" w:styleId="236">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237">
    <w:name w:val="表格1"/>
    <w:basedOn w:val="1"/>
    <w:next w:val="1"/>
    <w:qFormat/>
    <w:uiPriority w:val="0"/>
    <w:pPr>
      <w:kinsoku w:val="0"/>
      <w:wordWrap w:val="0"/>
      <w:overflowPunct w:val="0"/>
      <w:autoSpaceDE w:val="0"/>
      <w:autoSpaceDN w:val="0"/>
      <w:adjustRightInd w:val="0"/>
      <w:spacing w:line="288" w:lineRule="auto"/>
      <w:jc w:val="center"/>
      <w:textAlignment w:val="baseline"/>
    </w:pPr>
    <w:rPr>
      <w:sz w:val="18"/>
    </w:rPr>
  </w:style>
  <w:style w:type="paragraph" w:customStyle="1" w:styleId="238">
    <w:name w:val="样式1"/>
    <w:basedOn w:val="5"/>
    <w:qFormat/>
    <w:uiPriority w:val="0"/>
    <w:pPr>
      <w:spacing w:before="500" w:after="260" w:line="560" w:lineRule="atLeast"/>
    </w:pPr>
  </w:style>
  <w:style w:type="paragraph" w:customStyle="1" w:styleId="239">
    <w:name w:val="内容标题"/>
    <w:basedOn w:val="17"/>
    <w:qFormat/>
    <w:uiPriority w:val="0"/>
    <w:rPr>
      <w:rFonts w:ascii="Tahoma" w:hAnsi="Tahoma"/>
      <w:sz w:val="24"/>
    </w:rPr>
  </w:style>
  <w:style w:type="paragraph" w:customStyle="1" w:styleId="240">
    <w:name w:val="修订11"/>
    <w:qFormat/>
    <w:uiPriority w:val="0"/>
    <w:rPr>
      <w:rFonts w:ascii="Times New Roman" w:hAnsi="Times New Roman" w:eastAsia="宋体" w:cs="Times New Roman"/>
      <w:kern w:val="2"/>
      <w:sz w:val="21"/>
      <w:lang w:val="en-US" w:eastAsia="zh-CN" w:bidi="ar-SA"/>
    </w:rPr>
  </w:style>
  <w:style w:type="paragraph" w:customStyle="1" w:styleId="241">
    <w:name w:val="文本框样式1"/>
    <w:basedOn w:val="1"/>
    <w:qFormat/>
    <w:uiPriority w:val="0"/>
    <w:pPr>
      <w:adjustRightInd w:val="0"/>
      <w:snapToGrid w:val="0"/>
      <w:spacing w:before="60" w:line="180" w:lineRule="exact"/>
      <w:jc w:val="center"/>
    </w:pPr>
    <w:rPr>
      <w:rFonts w:ascii="Times New Roman"/>
      <w:kern w:val="2"/>
      <w:sz w:val="21"/>
    </w:rPr>
  </w:style>
  <w:style w:type="paragraph" w:customStyle="1" w:styleId="242">
    <w:name w:val="无间隔1"/>
    <w:qFormat/>
    <w:uiPriority w:val="99"/>
    <w:pPr>
      <w:widowControl w:val="0"/>
      <w:jc w:val="both"/>
    </w:pPr>
    <w:rPr>
      <w:rFonts w:ascii="Times New Roman" w:hAnsi="Times New Roman" w:eastAsia="宋体" w:cs="Calibri"/>
      <w:kern w:val="2"/>
      <w:sz w:val="21"/>
      <w:szCs w:val="21"/>
      <w:lang w:val="en-US" w:eastAsia="zh-CN" w:bidi="ar-SA"/>
    </w:rPr>
  </w:style>
  <w:style w:type="character" w:customStyle="1" w:styleId="243">
    <w:name w:val="标题 2 Char"/>
    <w:qFormat/>
    <w:uiPriority w:val="0"/>
    <w:rPr>
      <w:rFonts w:ascii="宋体" w:hAnsi="宋体"/>
      <w:kern w:val="2"/>
      <w:sz w:val="28"/>
    </w:rPr>
  </w:style>
  <w:style w:type="character" w:customStyle="1" w:styleId="244">
    <w:name w:val="正文文本缩进 Char"/>
    <w:qFormat/>
    <w:uiPriority w:val="0"/>
    <w:rPr>
      <w:kern w:val="2"/>
      <w:sz w:val="44"/>
    </w:rPr>
  </w:style>
  <w:style w:type="paragraph" w:customStyle="1" w:styleId="245">
    <w:name w:val="正文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table" w:customStyle="1" w:styleId="246">
    <w:name w:val="Table Normal"/>
    <w:unhideWhenUsed/>
    <w:qFormat/>
    <w:uiPriority w:val="0"/>
    <w:tblPr>
      <w:tblCellMar>
        <w:top w:w="0" w:type="dxa"/>
        <w:left w:w="0" w:type="dxa"/>
        <w:bottom w:w="0" w:type="dxa"/>
        <w:right w:w="0" w:type="dxa"/>
      </w:tblCellMar>
    </w:tblPr>
  </w:style>
  <w:style w:type="paragraph" w:customStyle="1" w:styleId="247">
    <w:name w:val="正文-公1"/>
    <w:basedOn w:val="1"/>
    <w:qFormat/>
    <w:uiPriority w:val="0"/>
    <w:pPr>
      <w:ind w:firstLine="200" w:firstLineChars="200"/>
    </w:pPr>
    <w:rPr>
      <w:color w:val="00000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Organization</Company>
  <Pages>51</Pages>
  <Words>3984</Words>
  <Characters>4228</Characters>
  <Lines>239</Lines>
  <Paragraphs>67</Paragraphs>
  <TotalTime>6</TotalTime>
  <ScaleCrop>false</ScaleCrop>
  <LinksUpToDate>false</LinksUpToDate>
  <CharactersWithSpaces>4586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2026-03-23T13:50:00Z</dcterms:created>
  <dc:creator>Administrator.MM-202203241122</dc:creator>
  <cp:lastModifiedBy>陈珍华</cp:lastModifiedBy>
  <cp:lastPrinted>2026-03-23T09:09:00Z</cp:lastPrinted>
  <dcterms:modified xsi:type="dcterms:W3CDTF">2026-09-28T04:14:24Z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13E08441DB0C4A1E8D4D7CC0EC3598D9_13</vt:lpwstr>
  </property>
  <property fmtid="{D5CDD505-2E9C-101B-9397-08002B2CF9AE}" pid="4" name="KSOTemplateDocerSaveRecord">
    <vt:lpwstr>eyJoZGlkIjoiYmY2NTAwNDgwOWEyZGY5YmZmZWEyYjk0YjZkMGVhZDYiLCJ1c2VySWQiOiI1MTI2ODA0NDcifQ==</vt:lpwstr>
  </property>
</Properties>
</file>