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color w:val="auto"/>
          <w:highlight w:val="none"/>
        </w:rPr>
      </w:pPr>
    </w:p>
    <w:p>
      <w:pPr>
        <w:spacing w:line="1600" w:lineRule="exact"/>
        <w:jc w:val="center"/>
        <w:outlineLvl w:val="0"/>
        <w:rPr>
          <w:rFonts w:hint="eastAsia" w:ascii="方正黑体_GBK" w:eastAsia="方正黑体_GBK"/>
          <w:color w:val="auto"/>
          <w:sz w:val="100"/>
          <w:highlight w:val="none"/>
        </w:rPr>
      </w:pPr>
    </w:p>
    <w:p>
      <w:pPr>
        <w:spacing w:line="1600" w:lineRule="exact"/>
        <w:jc w:val="center"/>
        <w:outlineLvl w:val="0"/>
        <w:rPr>
          <w:rFonts w:hint="eastAsia" w:ascii="宋体" w:hAnsi="宋体" w:eastAsia="宋体" w:cs="宋体"/>
          <w:color w:val="auto"/>
          <w:sz w:val="96"/>
          <w:szCs w:val="96"/>
          <w:highlight w:val="none"/>
        </w:rPr>
      </w:pPr>
      <w:r>
        <w:rPr>
          <w:rFonts w:hint="eastAsia" w:ascii="宋体" w:hAnsi="宋体" w:eastAsia="宋体" w:cs="宋体"/>
          <w:color w:val="auto"/>
          <w:sz w:val="96"/>
          <w:szCs w:val="96"/>
          <w:highlight w:val="none"/>
          <w:lang w:val="en-US" w:eastAsia="zh-CN"/>
        </w:rPr>
        <w:t>遴选</w:t>
      </w:r>
      <w:r>
        <w:rPr>
          <w:rFonts w:hint="eastAsia" w:ascii="宋体" w:hAnsi="宋体" w:eastAsia="宋体" w:cs="宋体"/>
          <w:color w:val="auto"/>
          <w:sz w:val="96"/>
          <w:szCs w:val="96"/>
          <w:highlight w:val="none"/>
        </w:rPr>
        <w:t>文件</w:t>
      </w:r>
    </w:p>
    <w:p>
      <w:pPr>
        <w:spacing w:line="360" w:lineRule="auto"/>
        <w:ind w:firstLine="1080" w:firstLineChars="300"/>
        <w:outlineLvl w:val="0"/>
        <w:rPr>
          <w:rFonts w:hint="eastAsia" w:ascii="方正小标宋_GBK" w:hAnsi="宋体" w:eastAsia="方正小标宋_GBK"/>
          <w:color w:val="auto"/>
          <w:sz w:val="36"/>
          <w:szCs w:val="36"/>
          <w:highlight w:val="none"/>
          <w:lang w:val="en-US" w:eastAsia="zh-CN"/>
        </w:rPr>
      </w:pPr>
    </w:p>
    <w:p>
      <w:pPr>
        <w:spacing w:line="360" w:lineRule="auto"/>
        <w:ind w:firstLine="1080" w:firstLineChars="300"/>
        <w:outlineLvl w:val="0"/>
        <w:rPr>
          <w:rFonts w:hint="eastAsia" w:ascii="方正小标宋_GBK" w:hAnsi="宋体" w:eastAsia="方正小标宋_GBK"/>
          <w:color w:val="auto"/>
          <w:sz w:val="36"/>
          <w:szCs w:val="36"/>
          <w:highlight w:val="none"/>
          <w:lang w:val="en-US" w:eastAsia="zh-CN"/>
        </w:rPr>
      </w:pPr>
    </w:p>
    <w:p>
      <w:pPr>
        <w:spacing w:line="360" w:lineRule="auto"/>
        <w:ind w:firstLine="960" w:firstLineChars="300"/>
        <w:jc w:val="center"/>
        <w:outlineLvl w:val="0"/>
        <w:rPr>
          <w:rFonts w:hint="eastAsia" w:ascii="宋体" w:hAnsi="宋体" w:eastAsia="宋体" w:cs="宋体"/>
          <w:color w:val="auto"/>
          <w:sz w:val="32"/>
          <w:szCs w:val="32"/>
          <w:highlight w:val="none"/>
          <w:lang w:val="en-US" w:eastAsia="zh-CN"/>
        </w:rPr>
      </w:pPr>
    </w:p>
    <w:p>
      <w:pPr>
        <w:spacing w:line="360" w:lineRule="auto"/>
        <w:ind w:firstLine="0" w:firstLineChars="0"/>
        <w:jc w:val="center"/>
        <w:outlineLvl w:val="0"/>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项目编号</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u w:val="single"/>
          <w:lang w:val="en-US" w:eastAsia="zh-CN"/>
        </w:rPr>
        <w:t>QJZXYY</w:t>
      </w:r>
      <w:r>
        <w:rPr>
          <w:rFonts w:hint="eastAsia" w:ascii="宋体" w:hAnsi="宋体" w:cs="宋体"/>
          <w:color w:val="auto"/>
          <w:sz w:val="32"/>
          <w:szCs w:val="32"/>
          <w:highlight w:val="none"/>
          <w:u w:val="single"/>
          <w:lang w:val="en-US" w:eastAsia="zh-CN"/>
        </w:rPr>
        <w:t>ZBK</w:t>
      </w:r>
      <w:r>
        <w:rPr>
          <w:rFonts w:hint="eastAsia" w:ascii="宋体" w:hAnsi="宋体" w:eastAsia="宋体" w:cs="宋体"/>
          <w:color w:val="auto"/>
          <w:sz w:val="32"/>
          <w:szCs w:val="32"/>
          <w:highlight w:val="none"/>
          <w:u w:val="single"/>
          <w:lang w:val="en-US" w:eastAsia="zh-CN"/>
        </w:rPr>
        <w:t>-2026-</w:t>
      </w:r>
      <w:r>
        <w:rPr>
          <w:rFonts w:hint="eastAsia" w:ascii="宋体" w:hAnsi="宋体" w:cs="宋体"/>
          <w:color w:val="auto"/>
          <w:sz w:val="32"/>
          <w:szCs w:val="32"/>
          <w:highlight w:val="none"/>
          <w:u w:val="single"/>
          <w:lang w:val="en-US" w:eastAsia="zh-CN"/>
        </w:rPr>
        <w:t>04</w:t>
      </w:r>
    </w:p>
    <w:p>
      <w:pPr>
        <w:keepNext w:val="0"/>
        <w:keepLines w:val="0"/>
        <w:widowControl/>
        <w:suppressLineNumbers w:val="0"/>
        <w:ind w:firstLine="0" w:firstLineChars="0"/>
        <w:jc w:val="center"/>
        <w:rPr>
          <w:rFonts w:hint="eastAsia" w:ascii="宋体" w:hAnsi="宋体" w:eastAsia="宋体" w:cs="宋体"/>
          <w:color w:val="auto"/>
          <w:sz w:val="32"/>
          <w:szCs w:val="32"/>
          <w:highlight w:val="none"/>
          <w:u w:val="single"/>
          <w:lang w:val="en-US" w:eastAsia="zh-CN"/>
        </w:rPr>
      </w:pPr>
      <w:r>
        <w:rPr>
          <w:rFonts w:hint="eastAsia" w:ascii="宋体" w:hAnsi="宋体" w:eastAsia="宋体" w:cs="宋体"/>
          <w:color w:val="auto"/>
          <w:sz w:val="32"/>
          <w:szCs w:val="32"/>
          <w:highlight w:val="none"/>
          <w:lang w:val="en-US" w:eastAsia="zh-CN"/>
        </w:rPr>
        <w:t>项目名称</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u w:val="single"/>
          <w:lang w:val="en-US" w:eastAsia="zh-CN"/>
        </w:rPr>
        <w:t>口腔科义齿一批</w:t>
      </w:r>
    </w:p>
    <w:p>
      <w:pPr>
        <w:spacing w:line="360" w:lineRule="auto"/>
        <w:ind w:firstLine="0" w:firstLineChars="0"/>
        <w:outlineLvl w:val="0"/>
        <w:rPr>
          <w:rFonts w:hint="eastAsia" w:ascii="宋体" w:hAnsi="宋体" w:eastAsia="宋体" w:cs="宋体"/>
          <w:color w:val="auto"/>
          <w:sz w:val="32"/>
          <w:szCs w:val="32"/>
          <w:highlight w:val="none"/>
          <w:u w:val="single"/>
          <w:lang w:val="en-US" w:eastAsia="zh-CN"/>
        </w:rPr>
      </w:pPr>
    </w:p>
    <w:p>
      <w:pPr>
        <w:spacing w:line="700" w:lineRule="exact"/>
        <w:jc w:val="both"/>
        <w:rPr>
          <w:rFonts w:hint="eastAsia" w:ascii="宋体" w:hAnsi="宋体" w:eastAsia="宋体" w:cs="宋体"/>
          <w:b/>
          <w:color w:val="auto"/>
          <w:sz w:val="32"/>
          <w:szCs w:val="32"/>
          <w:highlight w:val="none"/>
        </w:rPr>
      </w:pPr>
    </w:p>
    <w:p>
      <w:pPr>
        <w:spacing w:line="500" w:lineRule="exact"/>
        <w:jc w:val="both"/>
        <w:outlineLvl w:val="0"/>
        <w:rPr>
          <w:rFonts w:hint="eastAsia" w:ascii="宋体" w:hAnsi="宋体" w:eastAsia="宋体" w:cs="宋体"/>
          <w:color w:val="auto"/>
          <w:sz w:val="32"/>
          <w:szCs w:val="32"/>
          <w:highlight w:val="none"/>
        </w:rPr>
      </w:pPr>
    </w:p>
    <w:p>
      <w:pPr>
        <w:spacing w:line="500" w:lineRule="exact"/>
        <w:jc w:val="center"/>
        <w:outlineLvl w:val="0"/>
        <w:rPr>
          <w:rFonts w:hint="eastAsia" w:ascii="宋体" w:hAnsi="宋体" w:eastAsia="宋体" w:cs="宋体"/>
          <w:color w:val="auto"/>
          <w:sz w:val="32"/>
          <w:szCs w:val="32"/>
          <w:highlight w:val="none"/>
        </w:rPr>
      </w:pPr>
    </w:p>
    <w:p>
      <w:pPr>
        <w:spacing w:line="500" w:lineRule="exact"/>
        <w:jc w:val="center"/>
        <w:outlineLvl w:val="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重庆市黔江中心医院</w:t>
      </w:r>
    </w:p>
    <w:p>
      <w:pPr>
        <w:spacing w:line="720" w:lineRule="exact"/>
        <w:jc w:val="center"/>
        <w:outlineLvl w:val="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2026</w:t>
      </w:r>
      <w:r>
        <w:rPr>
          <w:rFonts w:hint="eastAsia" w:ascii="宋体" w:hAnsi="宋体" w:eastAsia="宋体" w:cs="宋体"/>
          <w:color w:val="auto"/>
          <w:sz w:val="32"/>
          <w:szCs w:val="32"/>
          <w:highlight w:val="none"/>
        </w:rPr>
        <w:t>年</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月</w:t>
      </w:r>
    </w:p>
    <w:p>
      <w:pPr>
        <w:spacing w:line="720" w:lineRule="exact"/>
        <w:jc w:val="center"/>
        <w:outlineLvl w:val="0"/>
        <w:rPr>
          <w:rFonts w:hint="eastAsia" w:ascii="宋体" w:hAnsi="宋体" w:eastAsia="宋体" w:cs="宋体"/>
          <w:color w:val="auto"/>
          <w:sz w:val="32"/>
          <w:szCs w:val="3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Borders>
            <w:top w:val="none" w:sz="0" w:space="0"/>
            <w:left w:val="none" w:sz="0" w:space="0"/>
            <w:bottom w:val="none" w:sz="0" w:space="0"/>
            <w:right w:val="none" w:sz="0" w:space="0"/>
          </w:pgBorders>
          <w:pgNumType w:fmt="numberInDash" w:start="1"/>
          <w:cols w:space="720" w:num="1"/>
          <w:titlePg/>
          <w:docGrid w:linePitch="381" w:charSpace="-5735"/>
        </w:sectPr>
      </w:pPr>
    </w:p>
    <w:p>
      <w:pPr>
        <w:spacing w:line="480" w:lineRule="exact"/>
        <w:jc w:val="center"/>
        <w:outlineLvl w:val="0"/>
        <w:rPr>
          <w:rFonts w:hint="eastAsia" w:ascii="方正黑体_GBK" w:eastAsia="方正黑体_GBK"/>
          <w:color w:val="auto"/>
          <w:sz w:val="44"/>
          <w:szCs w:val="28"/>
          <w:highlight w:val="none"/>
        </w:rPr>
      </w:pPr>
      <w:r>
        <w:rPr>
          <w:rFonts w:hint="eastAsia" w:ascii="方正黑体_GBK" w:eastAsia="方正黑体_GBK"/>
          <w:color w:val="auto"/>
          <w:sz w:val="44"/>
          <w:szCs w:val="28"/>
          <w:highlight w:val="none"/>
        </w:rPr>
        <w:t>目   录</w:t>
      </w:r>
    </w:p>
    <w:p>
      <w:pPr>
        <w:pStyle w:val="45"/>
        <w:tabs>
          <w:tab w:val="right" w:leader="dot" w:pos="9412"/>
        </w:tabs>
        <w:rPr>
          <w:color w:val="auto"/>
          <w:highlight w:val="none"/>
        </w:rPr>
      </w:pPr>
      <w:r>
        <w:rPr>
          <w:rFonts w:hint="eastAsia" w:ascii="方正仿宋_GBK" w:hAnsi="宋体" w:eastAsia="方正仿宋_GBK"/>
          <w:color w:val="auto"/>
          <w:sz w:val="24"/>
          <w:szCs w:val="24"/>
          <w:highlight w:val="none"/>
        </w:rPr>
        <w:fldChar w:fldCharType="begin"/>
      </w:r>
      <w:r>
        <w:rPr>
          <w:rFonts w:hint="eastAsia" w:ascii="方正仿宋_GBK" w:hAnsi="宋体" w:eastAsia="方正仿宋_GBK"/>
          <w:color w:val="auto"/>
          <w:sz w:val="24"/>
          <w:szCs w:val="24"/>
          <w:highlight w:val="none"/>
        </w:rPr>
        <w:instrText xml:space="preserve"> TOC \o "1-3" \h \z </w:instrText>
      </w:r>
      <w:r>
        <w:rPr>
          <w:rFonts w:hint="eastAsia" w:ascii="方正仿宋_GBK" w:hAnsi="宋体" w:eastAsia="方正仿宋_GBK"/>
          <w:color w:val="auto"/>
          <w:sz w:val="24"/>
          <w:szCs w:val="24"/>
          <w:highlight w:val="none"/>
        </w:rPr>
        <w:fldChar w:fldCharType="separate"/>
      </w: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_Toc4880 </w:instrText>
      </w:r>
      <w:r>
        <w:rPr>
          <w:rFonts w:hint="eastAsia" w:ascii="方正仿宋_GBK" w:hAnsi="宋体" w:eastAsia="方正仿宋_GBK"/>
          <w:color w:val="auto"/>
          <w:szCs w:val="24"/>
          <w:highlight w:val="none"/>
        </w:rPr>
        <w:fldChar w:fldCharType="separate"/>
      </w:r>
      <w:r>
        <w:rPr>
          <w:rFonts w:hint="eastAsia" w:ascii="方正小标宋_GBK" w:hAnsi="方正小标宋_GBK" w:eastAsia="方正小标宋_GBK" w:cs="方正小标宋_GBK"/>
          <w:bCs/>
          <w:color w:val="auto"/>
          <w:szCs w:val="44"/>
          <w:highlight w:val="none"/>
        </w:rPr>
        <w:t>第一篇  采购邀请书</w:t>
      </w:r>
      <w:r>
        <w:rPr>
          <w:color w:val="auto"/>
          <w:highlight w:val="none"/>
        </w:rPr>
        <w:tab/>
      </w:r>
      <w:r>
        <w:rPr>
          <w:color w:val="auto"/>
          <w:highlight w:val="none"/>
        </w:rPr>
        <w:fldChar w:fldCharType="begin"/>
      </w:r>
      <w:r>
        <w:rPr>
          <w:color w:val="auto"/>
          <w:highlight w:val="none"/>
        </w:rPr>
        <w:instrText xml:space="preserve"> PAGEREF _Toc4880 </w:instrText>
      </w:r>
      <w:r>
        <w:rPr>
          <w:color w:val="auto"/>
          <w:highlight w:val="none"/>
        </w:rPr>
        <w:fldChar w:fldCharType="separate"/>
      </w:r>
      <w:r>
        <w:rPr>
          <w:color w:val="auto"/>
          <w:highlight w:val="none"/>
        </w:rPr>
        <w:t>- 2 -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45"/>
        <w:tabs>
          <w:tab w:val="right" w:leader="dot" w:pos="9412"/>
        </w:tabs>
        <w:rPr>
          <w:color w:val="auto"/>
          <w:highlight w:val="none"/>
        </w:rPr>
      </w:pP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_Toc29225 </w:instrText>
      </w:r>
      <w:r>
        <w:rPr>
          <w:rFonts w:hint="eastAsia" w:ascii="方正仿宋_GBK" w:hAnsi="宋体" w:eastAsia="方正仿宋_GBK"/>
          <w:color w:val="auto"/>
          <w:szCs w:val="24"/>
          <w:highlight w:val="none"/>
        </w:rPr>
        <w:fldChar w:fldCharType="separate"/>
      </w:r>
      <w:r>
        <w:rPr>
          <w:rFonts w:hint="eastAsia" w:ascii="黑体" w:hAnsi="黑体" w:eastAsia="黑体" w:cs="黑体"/>
          <w:bCs/>
          <w:color w:val="auto"/>
          <w:szCs w:val="24"/>
          <w:highlight w:val="none"/>
        </w:rPr>
        <w:t>一、</w:t>
      </w:r>
      <w:r>
        <w:rPr>
          <w:rFonts w:hint="eastAsia" w:ascii="黑体" w:hAnsi="黑体" w:eastAsia="黑体" w:cs="黑体"/>
          <w:bCs/>
          <w:color w:val="auto"/>
          <w:szCs w:val="24"/>
          <w:highlight w:val="none"/>
          <w:lang w:val="en-US" w:eastAsia="zh-CN"/>
        </w:rPr>
        <w:t>遴选</w:t>
      </w:r>
      <w:r>
        <w:rPr>
          <w:rFonts w:hint="eastAsia" w:ascii="黑体" w:hAnsi="黑体" w:eastAsia="黑体" w:cs="黑体"/>
          <w:bCs/>
          <w:color w:val="auto"/>
          <w:szCs w:val="24"/>
          <w:highlight w:val="none"/>
        </w:rPr>
        <w:t>内容</w:t>
      </w:r>
      <w:r>
        <w:rPr>
          <w:color w:val="auto"/>
          <w:highlight w:val="none"/>
        </w:rPr>
        <w:tab/>
      </w:r>
      <w:r>
        <w:rPr>
          <w:color w:val="auto"/>
          <w:highlight w:val="none"/>
        </w:rPr>
        <w:fldChar w:fldCharType="begin"/>
      </w:r>
      <w:r>
        <w:rPr>
          <w:color w:val="auto"/>
          <w:highlight w:val="none"/>
        </w:rPr>
        <w:instrText xml:space="preserve"> PAGEREF _Toc29225 </w:instrText>
      </w:r>
      <w:r>
        <w:rPr>
          <w:color w:val="auto"/>
          <w:highlight w:val="none"/>
        </w:rPr>
        <w:fldChar w:fldCharType="separate"/>
      </w:r>
      <w:r>
        <w:rPr>
          <w:color w:val="auto"/>
          <w:highlight w:val="none"/>
        </w:rPr>
        <w:t>- 2 -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45"/>
        <w:tabs>
          <w:tab w:val="right" w:leader="dot" w:pos="9412"/>
        </w:tabs>
        <w:ind w:left="0" w:leftChars="0" w:firstLine="560" w:firstLineChars="200"/>
        <w:rPr>
          <w:color w:val="auto"/>
          <w:highlight w:val="none"/>
        </w:rPr>
      </w:pP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_Toc25170 </w:instrText>
      </w:r>
      <w:r>
        <w:rPr>
          <w:rFonts w:hint="eastAsia" w:ascii="方正仿宋_GBK" w:hAnsi="宋体" w:eastAsia="方正仿宋_GBK"/>
          <w:color w:val="auto"/>
          <w:szCs w:val="24"/>
          <w:highlight w:val="none"/>
        </w:rPr>
        <w:fldChar w:fldCharType="separate"/>
      </w:r>
      <w:r>
        <w:rPr>
          <w:rFonts w:hint="eastAsia" w:ascii="黑体" w:hAnsi="黑体" w:eastAsia="黑体" w:cs="黑体"/>
          <w:bCs/>
          <w:color w:val="auto"/>
          <w:szCs w:val="24"/>
          <w:highlight w:val="none"/>
        </w:rPr>
        <w:t>二、</w:t>
      </w:r>
      <w:r>
        <w:rPr>
          <w:rFonts w:hint="eastAsia" w:ascii="黑体" w:hAnsi="黑体" w:eastAsia="黑体" w:cs="黑体"/>
          <w:bCs/>
          <w:color w:val="auto"/>
          <w:szCs w:val="24"/>
          <w:highlight w:val="none"/>
          <w:lang w:val="en-US" w:eastAsia="zh-CN"/>
        </w:rPr>
        <w:t>投标人</w:t>
      </w:r>
      <w:r>
        <w:rPr>
          <w:rFonts w:hint="eastAsia" w:ascii="黑体" w:hAnsi="黑体" w:eastAsia="黑体" w:cs="黑体"/>
          <w:bCs/>
          <w:color w:val="auto"/>
          <w:szCs w:val="24"/>
          <w:highlight w:val="none"/>
        </w:rPr>
        <w:t>资格条件</w:t>
      </w:r>
      <w:r>
        <w:rPr>
          <w:color w:val="auto"/>
          <w:highlight w:val="none"/>
        </w:rPr>
        <w:tab/>
      </w:r>
      <w:r>
        <w:rPr>
          <w:color w:val="auto"/>
          <w:highlight w:val="none"/>
        </w:rPr>
        <w:fldChar w:fldCharType="begin"/>
      </w:r>
      <w:r>
        <w:rPr>
          <w:color w:val="auto"/>
          <w:highlight w:val="none"/>
        </w:rPr>
        <w:instrText xml:space="preserve"> PAGEREF _Toc25170 </w:instrText>
      </w:r>
      <w:r>
        <w:rPr>
          <w:color w:val="auto"/>
          <w:highlight w:val="none"/>
        </w:rPr>
        <w:fldChar w:fldCharType="separate"/>
      </w:r>
      <w:r>
        <w:rPr>
          <w:color w:val="auto"/>
          <w:highlight w:val="none"/>
        </w:rPr>
        <w:t>- 2 -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45"/>
        <w:tabs>
          <w:tab w:val="right" w:leader="dot" w:pos="9412"/>
        </w:tabs>
        <w:rPr>
          <w:color w:val="auto"/>
          <w:highlight w:val="none"/>
        </w:rPr>
      </w:pP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_Toc13685 </w:instrText>
      </w:r>
      <w:r>
        <w:rPr>
          <w:rFonts w:hint="eastAsia" w:ascii="方正仿宋_GBK" w:hAnsi="宋体" w:eastAsia="方正仿宋_GBK"/>
          <w:color w:val="auto"/>
          <w:szCs w:val="24"/>
          <w:highlight w:val="none"/>
        </w:rPr>
        <w:fldChar w:fldCharType="separate"/>
      </w:r>
      <w:r>
        <w:rPr>
          <w:rFonts w:hint="eastAsia" w:ascii="黑体" w:hAnsi="黑体" w:eastAsia="黑体" w:cs="黑体"/>
          <w:bCs/>
          <w:color w:val="auto"/>
          <w:szCs w:val="24"/>
          <w:highlight w:val="none"/>
        </w:rPr>
        <w:t>三、</w:t>
      </w:r>
      <w:r>
        <w:rPr>
          <w:rFonts w:hint="eastAsia" w:ascii="黑体" w:hAnsi="黑体" w:eastAsia="黑体" w:cs="黑体"/>
          <w:bCs/>
          <w:color w:val="auto"/>
          <w:szCs w:val="24"/>
          <w:highlight w:val="none"/>
          <w:lang w:val="en-US" w:eastAsia="zh-CN"/>
        </w:rPr>
        <w:t>遴选</w:t>
      </w:r>
      <w:r>
        <w:rPr>
          <w:rFonts w:hint="eastAsia" w:ascii="黑体" w:hAnsi="黑体" w:eastAsia="黑体" w:cs="黑体"/>
          <w:bCs/>
          <w:color w:val="auto"/>
          <w:szCs w:val="24"/>
          <w:highlight w:val="none"/>
        </w:rPr>
        <w:t>有关说明</w:t>
      </w:r>
      <w:r>
        <w:rPr>
          <w:color w:val="auto"/>
          <w:highlight w:val="none"/>
        </w:rPr>
        <w:tab/>
      </w:r>
      <w:r>
        <w:rPr>
          <w:color w:val="auto"/>
          <w:highlight w:val="none"/>
        </w:rPr>
        <w:fldChar w:fldCharType="begin"/>
      </w:r>
      <w:r>
        <w:rPr>
          <w:color w:val="auto"/>
          <w:highlight w:val="none"/>
        </w:rPr>
        <w:instrText xml:space="preserve"> PAGEREF _Toc13685 </w:instrText>
      </w:r>
      <w:r>
        <w:rPr>
          <w:color w:val="auto"/>
          <w:highlight w:val="none"/>
        </w:rPr>
        <w:fldChar w:fldCharType="separate"/>
      </w:r>
      <w:r>
        <w:rPr>
          <w:color w:val="auto"/>
          <w:highlight w:val="none"/>
        </w:rPr>
        <w:t>- 2 -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45"/>
        <w:tabs>
          <w:tab w:val="right" w:leader="dot" w:pos="9412"/>
        </w:tabs>
        <w:rPr>
          <w:color w:val="auto"/>
          <w:highlight w:val="none"/>
        </w:rPr>
      </w:pP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_Toc3764 </w:instrText>
      </w:r>
      <w:r>
        <w:rPr>
          <w:rFonts w:hint="eastAsia" w:ascii="方正仿宋_GBK" w:hAnsi="宋体" w:eastAsia="方正仿宋_GBK"/>
          <w:color w:val="auto"/>
          <w:szCs w:val="24"/>
          <w:highlight w:val="none"/>
        </w:rPr>
        <w:fldChar w:fldCharType="separate"/>
      </w:r>
      <w:r>
        <w:rPr>
          <w:rFonts w:hint="eastAsia" w:ascii="黑体" w:hAnsi="黑体" w:eastAsia="黑体" w:cs="黑体"/>
          <w:bCs/>
          <w:color w:val="auto"/>
          <w:szCs w:val="24"/>
          <w:highlight w:val="none"/>
        </w:rPr>
        <w:t>四、保证金</w:t>
      </w:r>
      <w:r>
        <w:rPr>
          <w:color w:val="auto"/>
          <w:highlight w:val="none"/>
        </w:rPr>
        <w:tab/>
      </w:r>
      <w:r>
        <w:rPr>
          <w:color w:val="auto"/>
          <w:highlight w:val="none"/>
        </w:rPr>
        <w:fldChar w:fldCharType="begin"/>
      </w:r>
      <w:r>
        <w:rPr>
          <w:color w:val="auto"/>
          <w:highlight w:val="none"/>
        </w:rPr>
        <w:instrText xml:space="preserve"> PAGEREF _Toc3764 </w:instrText>
      </w:r>
      <w:r>
        <w:rPr>
          <w:color w:val="auto"/>
          <w:highlight w:val="none"/>
        </w:rPr>
        <w:fldChar w:fldCharType="separate"/>
      </w:r>
      <w:r>
        <w:rPr>
          <w:color w:val="auto"/>
          <w:highlight w:val="none"/>
        </w:rPr>
        <w:t>- 3 -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45"/>
        <w:tabs>
          <w:tab w:val="right" w:leader="dot" w:pos="9412"/>
        </w:tabs>
        <w:rPr>
          <w:color w:val="auto"/>
          <w:highlight w:val="none"/>
        </w:rPr>
      </w:pP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_Toc26312 </w:instrText>
      </w:r>
      <w:r>
        <w:rPr>
          <w:rFonts w:hint="eastAsia" w:ascii="方正仿宋_GBK" w:hAnsi="宋体" w:eastAsia="方正仿宋_GBK"/>
          <w:color w:val="auto"/>
          <w:szCs w:val="24"/>
          <w:highlight w:val="none"/>
        </w:rPr>
        <w:fldChar w:fldCharType="separate"/>
      </w:r>
      <w:r>
        <w:rPr>
          <w:rFonts w:hint="eastAsia" w:ascii="黑体" w:hAnsi="黑体" w:eastAsia="黑体" w:cs="黑体"/>
          <w:bCs/>
          <w:color w:val="auto"/>
          <w:szCs w:val="24"/>
          <w:highlight w:val="none"/>
          <w:lang w:val="en-US" w:eastAsia="zh-CN"/>
        </w:rPr>
        <w:t>五</w:t>
      </w:r>
      <w:r>
        <w:rPr>
          <w:rFonts w:hint="eastAsia" w:ascii="黑体" w:hAnsi="黑体" w:eastAsia="黑体" w:cs="黑体"/>
          <w:bCs/>
          <w:color w:val="auto"/>
          <w:szCs w:val="24"/>
          <w:highlight w:val="none"/>
        </w:rPr>
        <w:t>、其它</w:t>
      </w:r>
      <w:r>
        <w:rPr>
          <w:color w:val="auto"/>
          <w:highlight w:val="none"/>
        </w:rPr>
        <w:tab/>
      </w:r>
      <w:r>
        <w:rPr>
          <w:color w:val="auto"/>
          <w:highlight w:val="none"/>
        </w:rPr>
        <w:fldChar w:fldCharType="begin"/>
      </w:r>
      <w:r>
        <w:rPr>
          <w:color w:val="auto"/>
          <w:highlight w:val="none"/>
        </w:rPr>
        <w:instrText xml:space="preserve"> PAGEREF _Toc26312 </w:instrText>
      </w:r>
      <w:r>
        <w:rPr>
          <w:color w:val="auto"/>
          <w:highlight w:val="none"/>
        </w:rPr>
        <w:fldChar w:fldCharType="separate"/>
      </w:r>
      <w:r>
        <w:rPr>
          <w:color w:val="auto"/>
          <w:highlight w:val="none"/>
        </w:rPr>
        <w:t>- 3 -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45"/>
        <w:tabs>
          <w:tab w:val="right" w:leader="dot" w:pos="9412"/>
        </w:tabs>
        <w:rPr>
          <w:color w:val="auto"/>
          <w:highlight w:val="none"/>
        </w:rPr>
      </w:pP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_Toc22793 </w:instrText>
      </w:r>
      <w:r>
        <w:rPr>
          <w:rFonts w:hint="eastAsia" w:ascii="方正仿宋_GBK" w:hAnsi="宋体" w:eastAsia="方正仿宋_GBK"/>
          <w:color w:val="auto"/>
          <w:szCs w:val="24"/>
          <w:highlight w:val="none"/>
        </w:rPr>
        <w:fldChar w:fldCharType="separate"/>
      </w:r>
      <w:r>
        <w:rPr>
          <w:rFonts w:hint="eastAsia" w:ascii="黑体" w:hAnsi="黑体" w:eastAsia="黑体" w:cs="黑体"/>
          <w:bCs/>
          <w:color w:val="auto"/>
          <w:szCs w:val="24"/>
          <w:highlight w:val="none"/>
          <w:lang w:val="en-US" w:eastAsia="zh-CN"/>
        </w:rPr>
        <w:t>六、联系方式</w:t>
      </w:r>
      <w:r>
        <w:rPr>
          <w:color w:val="auto"/>
          <w:highlight w:val="none"/>
        </w:rPr>
        <w:tab/>
      </w:r>
      <w:r>
        <w:rPr>
          <w:color w:val="auto"/>
          <w:highlight w:val="none"/>
        </w:rPr>
        <w:fldChar w:fldCharType="begin"/>
      </w:r>
      <w:r>
        <w:rPr>
          <w:color w:val="auto"/>
          <w:highlight w:val="none"/>
        </w:rPr>
        <w:instrText xml:space="preserve"> PAGEREF _Toc22793 </w:instrText>
      </w:r>
      <w:r>
        <w:rPr>
          <w:color w:val="auto"/>
          <w:highlight w:val="none"/>
        </w:rPr>
        <w:fldChar w:fldCharType="separate"/>
      </w:r>
      <w:r>
        <w:rPr>
          <w:color w:val="auto"/>
          <w:highlight w:val="none"/>
        </w:rPr>
        <w:t>- 3 -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37"/>
        <w:tabs>
          <w:tab w:val="right" w:leader="dot" w:pos="9412"/>
        </w:tabs>
        <w:rPr>
          <w:color w:val="auto"/>
          <w:highlight w:val="none"/>
        </w:rPr>
      </w:pPr>
      <w:r>
        <w:rPr>
          <w:rFonts w:hint="eastAsia" w:ascii="方正仿宋_GBK" w:hAnsi="宋体" w:eastAsia="方正仿宋_GBK"/>
          <w:color w:val="auto"/>
          <w:szCs w:val="24"/>
          <w:highlight w:val="none"/>
          <w:lang w:val="en-US" w:eastAsia="zh-CN"/>
        </w:rPr>
        <w:t xml:space="preserve">   </w:t>
      </w: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_Toc24827 </w:instrText>
      </w:r>
      <w:r>
        <w:rPr>
          <w:rFonts w:hint="eastAsia" w:ascii="方正仿宋_GBK" w:hAnsi="宋体" w:eastAsia="方正仿宋_GBK"/>
          <w:color w:val="auto"/>
          <w:szCs w:val="24"/>
          <w:highlight w:val="none"/>
        </w:rPr>
        <w:fldChar w:fldCharType="separate"/>
      </w:r>
      <w:r>
        <w:rPr>
          <w:rFonts w:hint="eastAsia" w:ascii="方正小标宋_GBK" w:hAnsi="方正小标宋_GBK" w:eastAsia="方正小标宋_GBK" w:cs="方正小标宋_GBK"/>
          <w:bCs/>
          <w:color w:val="auto"/>
          <w:kern w:val="2"/>
          <w:szCs w:val="44"/>
          <w:highlight w:val="none"/>
          <w:lang w:val="en-US" w:eastAsia="zh-CN" w:bidi="ar-SA"/>
        </w:rPr>
        <w:t>第二篇 项目技术（质量）需求</w:t>
      </w:r>
      <w:r>
        <w:rPr>
          <w:color w:val="auto"/>
          <w:highlight w:val="none"/>
        </w:rPr>
        <w:tab/>
      </w:r>
      <w:r>
        <w:rPr>
          <w:color w:val="auto"/>
          <w:highlight w:val="none"/>
        </w:rPr>
        <w:fldChar w:fldCharType="begin"/>
      </w:r>
      <w:r>
        <w:rPr>
          <w:color w:val="auto"/>
          <w:highlight w:val="none"/>
        </w:rPr>
        <w:instrText xml:space="preserve"> PAGEREF _Toc24827 </w:instrText>
      </w:r>
      <w:r>
        <w:rPr>
          <w:color w:val="auto"/>
          <w:highlight w:val="none"/>
        </w:rPr>
        <w:fldChar w:fldCharType="separate"/>
      </w:r>
      <w:r>
        <w:rPr>
          <w:color w:val="auto"/>
          <w:highlight w:val="none"/>
        </w:rPr>
        <w:t>- 5 -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45"/>
        <w:tabs>
          <w:tab w:val="right" w:leader="dot" w:pos="9412"/>
        </w:tabs>
        <w:rPr>
          <w:color w:val="auto"/>
          <w:highlight w:val="none"/>
        </w:rPr>
      </w:pP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_Toc626 </w:instrText>
      </w:r>
      <w:r>
        <w:rPr>
          <w:rFonts w:hint="eastAsia" w:ascii="方正仿宋_GBK" w:hAnsi="宋体" w:eastAsia="方正仿宋_GBK"/>
          <w:color w:val="auto"/>
          <w:szCs w:val="24"/>
          <w:highlight w:val="none"/>
        </w:rPr>
        <w:fldChar w:fldCharType="separate"/>
      </w:r>
      <w:r>
        <w:rPr>
          <w:rFonts w:hint="eastAsia" w:ascii="黑体" w:hAnsi="黑体" w:eastAsia="黑体" w:cs="黑体"/>
          <w:bCs/>
          <w:color w:val="auto"/>
          <w:szCs w:val="24"/>
          <w:highlight w:val="none"/>
          <w:lang w:val="en-US" w:eastAsia="zh-CN"/>
        </w:rPr>
        <w:t>一、项目一览表</w:t>
      </w:r>
      <w:r>
        <w:rPr>
          <w:color w:val="auto"/>
          <w:highlight w:val="none"/>
        </w:rPr>
        <w:tab/>
      </w:r>
      <w:r>
        <w:rPr>
          <w:color w:val="auto"/>
          <w:highlight w:val="none"/>
        </w:rPr>
        <w:fldChar w:fldCharType="begin"/>
      </w:r>
      <w:r>
        <w:rPr>
          <w:color w:val="auto"/>
          <w:highlight w:val="none"/>
        </w:rPr>
        <w:instrText xml:space="preserve"> PAGEREF _Toc626 </w:instrText>
      </w:r>
      <w:r>
        <w:rPr>
          <w:color w:val="auto"/>
          <w:highlight w:val="none"/>
        </w:rPr>
        <w:fldChar w:fldCharType="separate"/>
      </w:r>
      <w:r>
        <w:rPr>
          <w:color w:val="auto"/>
          <w:highlight w:val="none"/>
        </w:rPr>
        <w:t>- 5 -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45"/>
        <w:tabs>
          <w:tab w:val="right" w:leader="dot" w:pos="9412"/>
        </w:tabs>
        <w:rPr>
          <w:color w:val="auto"/>
          <w:highlight w:val="none"/>
        </w:rPr>
      </w:pP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_Toc12201 </w:instrText>
      </w:r>
      <w:r>
        <w:rPr>
          <w:rFonts w:hint="eastAsia" w:ascii="方正仿宋_GBK" w:hAnsi="宋体" w:eastAsia="方正仿宋_GBK"/>
          <w:color w:val="auto"/>
          <w:szCs w:val="24"/>
          <w:highlight w:val="none"/>
        </w:rPr>
        <w:fldChar w:fldCharType="separate"/>
      </w:r>
      <w:r>
        <w:rPr>
          <w:rFonts w:hint="eastAsia" w:ascii="黑体" w:hAnsi="黑体" w:eastAsia="黑体" w:cs="黑体"/>
          <w:bCs/>
          <w:color w:val="auto"/>
          <w:szCs w:val="24"/>
          <w:highlight w:val="none"/>
          <w:lang w:val="en-US" w:eastAsia="zh-CN"/>
        </w:rPr>
        <w:t>二、技术需求</w:t>
      </w:r>
      <w:r>
        <w:rPr>
          <w:color w:val="auto"/>
          <w:highlight w:val="none"/>
        </w:rPr>
        <w:tab/>
      </w:r>
      <w:r>
        <w:rPr>
          <w:color w:val="auto"/>
          <w:highlight w:val="none"/>
        </w:rPr>
        <w:fldChar w:fldCharType="begin"/>
      </w:r>
      <w:r>
        <w:rPr>
          <w:color w:val="auto"/>
          <w:highlight w:val="none"/>
        </w:rPr>
        <w:instrText xml:space="preserve"> PAGEREF _Toc12201 </w:instrText>
      </w:r>
      <w:r>
        <w:rPr>
          <w:color w:val="auto"/>
          <w:highlight w:val="none"/>
        </w:rPr>
        <w:fldChar w:fldCharType="separate"/>
      </w:r>
      <w:r>
        <w:rPr>
          <w:color w:val="auto"/>
          <w:highlight w:val="none"/>
        </w:rPr>
        <w:t>- 10 -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45"/>
        <w:tabs>
          <w:tab w:val="right" w:leader="dot" w:pos="9412"/>
        </w:tabs>
        <w:rPr>
          <w:color w:val="auto"/>
          <w:highlight w:val="none"/>
        </w:rPr>
      </w:pP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_Toc7971 </w:instrText>
      </w:r>
      <w:r>
        <w:rPr>
          <w:rFonts w:hint="eastAsia" w:ascii="方正仿宋_GBK" w:hAnsi="宋体" w:eastAsia="方正仿宋_GBK"/>
          <w:color w:val="auto"/>
          <w:szCs w:val="24"/>
          <w:highlight w:val="none"/>
        </w:rPr>
        <w:fldChar w:fldCharType="separate"/>
      </w:r>
      <w:r>
        <w:rPr>
          <w:rFonts w:hint="eastAsia" w:ascii="方正小标宋_GBK" w:hAnsi="方正小标宋_GBK" w:eastAsia="方正小标宋_GBK" w:cs="方正小标宋_GBK"/>
          <w:bCs/>
          <w:color w:val="auto"/>
          <w:szCs w:val="44"/>
          <w:highlight w:val="none"/>
          <w:lang w:val="en-US" w:eastAsia="zh-CN"/>
        </w:rPr>
        <w:t>第三篇</w:t>
      </w:r>
      <w:r>
        <w:rPr>
          <w:rFonts w:hint="eastAsia" w:ascii="方正小标宋_GBK" w:hAnsi="方正小标宋_GBK" w:eastAsia="方正小标宋_GBK" w:cs="方正小标宋_GBK"/>
          <w:bCs/>
          <w:color w:val="auto"/>
          <w:szCs w:val="44"/>
          <w:highlight w:val="none"/>
        </w:rPr>
        <w:t xml:space="preserve"> 项目商务需求</w:t>
      </w:r>
      <w:r>
        <w:rPr>
          <w:color w:val="auto"/>
          <w:highlight w:val="none"/>
        </w:rPr>
        <w:tab/>
      </w:r>
      <w:r>
        <w:rPr>
          <w:color w:val="auto"/>
          <w:highlight w:val="none"/>
        </w:rPr>
        <w:fldChar w:fldCharType="begin"/>
      </w:r>
      <w:r>
        <w:rPr>
          <w:color w:val="auto"/>
          <w:highlight w:val="none"/>
        </w:rPr>
        <w:instrText xml:space="preserve"> PAGEREF _Toc7971 </w:instrText>
      </w:r>
      <w:r>
        <w:rPr>
          <w:color w:val="auto"/>
          <w:highlight w:val="none"/>
        </w:rPr>
        <w:fldChar w:fldCharType="separate"/>
      </w:r>
      <w:r>
        <w:rPr>
          <w:color w:val="auto"/>
          <w:highlight w:val="none"/>
        </w:rPr>
        <w:t>- 11 -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45"/>
        <w:tabs>
          <w:tab w:val="right" w:leader="dot" w:pos="9412"/>
        </w:tabs>
        <w:rPr>
          <w:color w:val="auto"/>
          <w:highlight w:val="none"/>
        </w:rPr>
      </w:pP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_Toc11990 </w:instrText>
      </w:r>
      <w:r>
        <w:rPr>
          <w:rFonts w:hint="eastAsia" w:ascii="方正仿宋_GBK" w:hAnsi="宋体" w:eastAsia="方正仿宋_GBK"/>
          <w:color w:val="auto"/>
          <w:szCs w:val="24"/>
          <w:highlight w:val="none"/>
        </w:rPr>
        <w:fldChar w:fldCharType="separate"/>
      </w:r>
      <w:r>
        <w:rPr>
          <w:rFonts w:hint="eastAsia" w:ascii="方正小标宋_GBK" w:hAnsi="方正小标宋_GBK" w:eastAsia="方正小标宋_GBK" w:cs="方正小标宋_GBK"/>
          <w:bCs/>
          <w:color w:val="auto"/>
          <w:szCs w:val="44"/>
          <w:highlight w:val="none"/>
        </w:rPr>
        <w:t xml:space="preserve">第四篇  </w:t>
      </w:r>
      <w:r>
        <w:rPr>
          <w:rFonts w:hint="eastAsia" w:ascii="方正小标宋_GBK" w:hAnsi="方正小标宋_GBK" w:eastAsia="方正小标宋_GBK" w:cs="方正小标宋_GBK"/>
          <w:bCs/>
          <w:color w:val="auto"/>
          <w:szCs w:val="44"/>
          <w:highlight w:val="none"/>
          <w:lang w:val="en-US" w:eastAsia="zh-CN"/>
        </w:rPr>
        <w:t>遴选</w:t>
      </w:r>
      <w:r>
        <w:rPr>
          <w:rFonts w:hint="eastAsia" w:ascii="方正小标宋_GBK" w:hAnsi="方正小标宋_GBK" w:eastAsia="方正小标宋_GBK" w:cs="方正小标宋_GBK"/>
          <w:bCs/>
          <w:color w:val="auto"/>
          <w:szCs w:val="44"/>
          <w:highlight w:val="none"/>
        </w:rPr>
        <w:t>程序及方法、评审标准、无效响应和采购终止</w:t>
      </w:r>
      <w:r>
        <w:rPr>
          <w:color w:val="auto"/>
          <w:highlight w:val="none"/>
        </w:rPr>
        <w:tab/>
      </w:r>
      <w:r>
        <w:rPr>
          <w:color w:val="auto"/>
          <w:highlight w:val="none"/>
        </w:rPr>
        <w:fldChar w:fldCharType="begin"/>
      </w:r>
      <w:r>
        <w:rPr>
          <w:color w:val="auto"/>
          <w:highlight w:val="none"/>
        </w:rPr>
        <w:instrText xml:space="preserve"> PAGEREF _Toc11990 </w:instrText>
      </w:r>
      <w:r>
        <w:rPr>
          <w:color w:val="auto"/>
          <w:highlight w:val="none"/>
        </w:rPr>
        <w:fldChar w:fldCharType="separate"/>
      </w:r>
      <w:r>
        <w:rPr>
          <w:color w:val="auto"/>
          <w:highlight w:val="none"/>
        </w:rPr>
        <w:t>- 14 -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45"/>
        <w:tabs>
          <w:tab w:val="right" w:leader="dot" w:pos="9412"/>
        </w:tabs>
        <w:rPr>
          <w:color w:val="auto"/>
          <w:highlight w:val="none"/>
        </w:rPr>
      </w:pP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_Toc12614 </w:instrText>
      </w:r>
      <w:r>
        <w:rPr>
          <w:rFonts w:hint="eastAsia" w:ascii="方正仿宋_GBK" w:hAnsi="宋体" w:eastAsia="方正仿宋_GBK"/>
          <w:color w:val="auto"/>
          <w:szCs w:val="24"/>
          <w:highlight w:val="none"/>
        </w:rPr>
        <w:fldChar w:fldCharType="separate"/>
      </w:r>
      <w:r>
        <w:rPr>
          <w:rFonts w:hint="eastAsia" w:ascii="黑体" w:hAnsi="黑体" w:eastAsia="黑体" w:cs="黑体"/>
          <w:bCs/>
          <w:color w:val="auto"/>
          <w:szCs w:val="24"/>
          <w:highlight w:val="none"/>
        </w:rPr>
        <w:t>一、</w:t>
      </w:r>
      <w:r>
        <w:rPr>
          <w:rFonts w:hint="eastAsia" w:ascii="黑体" w:hAnsi="黑体" w:eastAsia="黑体" w:cs="黑体"/>
          <w:bCs/>
          <w:color w:val="auto"/>
          <w:szCs w:val="24"/>
          <w:highlight w:val="none"/>
          <w:lang w:val="en-US" w:eastAsia="zh-CN"/>
        </w:rPr>
        <w:t>遴选</w:t>
      </w:r>
      <w:r>
        <w:rPr>
          <w:rFonts w:hint="eastAsia" w:ascii="黑体" w:hAnsi="黑体" w:eastAsia="黑体" w:cs="黑体"/>
          <w:bCs/>
          <w:color w:val="auto"/>
          <w:szCs w:val="24"/>
          <w:highlight w:val="none"/>
        </w:rPr>
        <w:t>程序</w:t>
      </w:r>
      <w:r>
        <w:rPr>
          <w:color w:val="auto"/>
          <w:highlight w:val="none"/>
        </w:rPr>
        <w:tab/>
      </w:r>
      <w:r>
        <w:rPr>
          <w:color w:val="auto"/>
          <w:highlight w:val="none"/>
        </w:rPr>
        <w:fldChar w:fldCharType="begin"/>
      </w:r>
      <w:r>
        <w:rPr>
          <w:color w:val="auto"/>
          <w:highlight w:val="none"/>
        </w:rPr>
        <w:instrText xml:space="preserve"> PAGEREF _Toc12614 </w:instrText>
      </w:r>
      <w:r>
        <w:rPr>
          <w:color w:val="auto"/>
          <w:highlight w:val="none"/>
        </w:rPr>
        <w:fldChar w:fldCharType="separate"/>
      </w:r>
      <w:r>
        <w:rPr>
          <w:color w:val="auto"/>
          <w:highlight w:val="none"/>
        </w:rPr>
        <w:t>- 14 -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45"/>
        <w:tabs>
          <w:tab w:val="right" w:leader="dot" w:pos="9412"/>
        </w:tabs>
        <w:rPr>
          <w:color w:val="auto"/>
          <w:highlight w:val="none"/>
        </w:rPr>
      </w:pP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_Toc29068 </w:instrText>
      </w:r>
      <w:r>
        <w:rPr>
          <w:rFonts w:hint="eastAsia" w:ascii="方正仿宋_GBK" w:hAnsi="宋体" w:eastAsia="方正仿宋_GBK"/>
          <w:color w:val="auto"/>
          <w:szCs w:val="24"/>
          <w:highlight w:val="none"/>
        </w:rPr>
        <w:fldChar w:fldCharType="separate"/>
      </w:r>
      <w:r>
        <w:rPr>
          <w:rFonts w:hint="eastAsia" w:ascii="黑体" w:hAnsi="黑体" w:eastAsia="黑体" w:cs="黑体"/>
          <w:bCs/>
          <w:color w:val="auto"/>
          <w:szCs w:val="24"/>
          <w:highlight w:val="none"/>
          <w:lang w:val="en-US" w:eastAsia="zh-CN"/>
        </w:rPr>
        <w:t>二、评标方法</w:t>
      </w:r>
      <w:r>
        <w:rPr>
          <w:color w:val="auto"/>
          <w:highlight w:val="none"/>
        </w:rPr>
        <w:tab/>
      </w:r>
      <w:r>
        <w:rPr>
          <w:color w:val="auto"/>
          <w:highlight w:val="none"/>
        </w:rPr>
        <w:fldChar w:fldCharType="begin"/>
      </w:r>
      <w:r>
        <w:rPr>
          <w:color w:val="auto"/>
          <w:highlight w:val="none"/>
        </w:rPr>
        <w:instrText xml:space="preserve"> PAGEREF _Toc29068 </w:instrText>
      </w:r>
      <w:r>
        <w:rPr>
          <w:color w:val="auto"/>
          <w:highlight w:val="none"/>
        </w:rPr>
        <w:fldChar w:fldCharType="separate"/>
      </w:r>
      <w:r>
        <w:rPr>
          <w:color w:val="auto"/>
          <w:highlight w:val="none"/>
        </w:rPr>
        <w:t>- 15 -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45"/>
        <w:tabs>
          <w:tab w:val="right" w:leader="dot" w:pos="9412"/>
        </w:tabs>
        <w:rPr>
          <w:color w:val="auto"/>
          <w:highlight w:val="none"/>
        </w:rPr>
      </w:pP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_Toc1389 </w:instrText>
      </w:r>
      <w:r>
        <w:rPr>
          <w:rFonts w:hint="eastAsia" w:ascii="方正仿宋_GBK" w:hAnsi="宋体" w:eastAsia="方正仿宋_GBK"/>
          <w:color w:val="auto"/>
          <w:szCs w:val="24"/>
          <w:highlight w:val="none"/>
        </w:rPr>
        <w:fldChar w:fldCharType="separate"/>
      </w:r>
      <w:r>
        <w:rPr>
          <w:rFonts w:hint="eastAsia" w:ascii="黑体" w:hAnsi="黑体" w:eastAsia="黑体" w:cs="黑体"/>
          <w:bCs/>
          <w:color w:val="auto"/>
          <w:szCs w:val="24"/>
          <w:highlight w:val="none"/>
          <w:lang w:val="en-US" w:eastAsia="zh-CN"/>
        </w:rPr>
        <w:t>三、遴选步骤</w:t>
      </w:r>
      <w:r>
        <w:rPr>
          <w:color w:val="auto"/>
          <w:highlight w:val="none"/>
        </w:rPr>
        <w:tab/>
      </w:r>
      <w:r>
        <w:rPr>
          <w:color w:val="auto"/>
          <w:highlight w:val="none"/>
        </w:rPr>
        <w:fldChar w:fldCharType="begin"/>
      </w:r>
      <w:r>
        <w:rPr>
          <w:color w:val="auto"/>
          <w:highlight w:val="none"/>
        </w:rPr>
        <w:instrText xml:space="preserve"> PAGEREF _Toc1389 </w:instrText>
      </w:r>
      <w:r>
        <w:rPr>
          <w:color w:val="auto"/>
          <w:highlight w:val="none"/>
        </w:rPr>
        <w:fldChar w:fldCharType="separate"/>
      </w:r>
      <w:r>
        <w:rPr>
          <w:color w:val="auto"/>
          <w:highlight w:val="none"/>
        </w:rPr>
        <w:t>- 15 -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45"/>
        <w:tabs>
          <w:tab w:val="right" w:leader="dot" w:pos="9412"/>
        </w:tabs>
        <w:rPr>
          <w:color w:val="auto"/>
          <w:highlight w:val="none"/>
        </w:rPr>
      </w:pP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_Toc2400 </w:instrText>
      </w:r>
      <w:r>
        <w:rPr>
          <w:rFonts w:hint="eastAsia" w:ascii="方正仿宋_GBK" w:hAnsi="宋体" w:eastAsia="方正仿宋_GBK"/>
          <w:color w:val="auto"/>
          <w:szCs w:val="24"/>
          <w:highlight w:val="none"/>
        </w:rPr>
        <w:fldChar w:fldCharType="separate"/>
      </w:r>
      <w:r>
        <w:rPr>
          <w:rFonts w:hint="eastAsia" w:ascii="黑体" w:hAnsi="黑体" w:eastAsia="黑体" w:cs="黑体"/>
          <w:bCs/>
          <w:color w:val="auto"/>
          <w:szCs w:val="24"/>
          <w:highlight w:val="none"/>
          <w:lang w:val="en-US" w:eastAsia="zh-CN"/>
        </w:rPr>
        <w:t>四、无效响应</w:t>
      </w:r>
      <w:r>
        <w:rPr>
          <w:color w:val="auto"/>
          <w:highlight w:val="none"/>
        </w:rPr>
        <w:tab/>
      </w:r>
      <w:r>
        <w:rPr>
          <w:color w:val="auto"/>
          <w:highlight w:val="none"/>
        </w:rPr>
        <w:fldChar w:fldCharType="begin"/>
      </w:r>
      <w:r>
        <w:rPr>
          <w:color w:val="auto"/>
          <w:highlight w:val="none"/>
        </w:rPr>
        <w:instrText xml:space="preserve"> PAGEREF _Toc2400 </w:instrText>
      </w:r>
      <w:r>
        <w:rPr>
          <w:color w:val="auto"/>
          <w:highlight w:val="none"/>
        </w:rPr>
        <w:fldChar w:fldCharType="separate"/>
      </w:r>
      <w:r>
        <w:rPr>
          <w:color w:val="auto"/>
          <w:highlight w:val="none"/>
        </w:rPr>
        <w:t>- 15 -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45"/>
        <w:tabs>
          <w:tab w:val="right" w:leader="dot" w:pos="9412"/>
        </w:tabs>
        <w:rPr>
          <w:color w:val="auto"/>
          <w:highlight w:val="none"/>
        </w:rPr>
      </w:pP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_Toc17847 </w:instrText>
      </w:r>
      <w:r>
        <w:rPr>
          <w:rFonts w:hint="eastAsia" w:ascii="方正仿宋_GBK" w:hAnsi="宋体" w:eastAsia="方正仿宋_GBK"/>
          <w:color w:val="auto"/>
          <w:szCs w:val="24"/>
          <w:highlight w:val="none"/>
        </w:rPr>
        <w:fldChar w:fldCharType="separate"/>
      </w:r>
      <w:r>
        <w:rPr>
          <w:rFonts w:hint="eastAsia" w:ascii="黑体" w:hAnsi="黑体" w:eastAsia="黑体" w:cs="黑体"/>
          <w:bCs/>
          <w:color w:val="auto"/>
          <w:szCs w:val="24"/>
          <w:highlight w:val="none"/>
          <w:lang w:val="en-US" w:eastAsia="zh-CN"/>
        </w:rPr>
        <w:t>五</w:t>
      </w:r>
      <w:r>
        <w:rPr>
          <w:rFonts w:hint="eastAsia" w:ascii="黑体" w:hAnsi="黑体" w:eastAsia="黑体" w:cs="黑体"/>
          <w:bCs/>
          <w:color w:val="auto"/>
          <w:szCs w:val="24"/>
          <w:highlight w:val="none"/>
        </w:rPr>
        <w:t>、采购终止</w:t>
      </w:r>
      <w:r>
        <w:rPr>
          <w:color w:val="auto"/>
          <w:highlight w:val="none"/>
        </w:rPr>
        <w:tab/>
      </w:r>
      <w:r>
        <w:rPr>
          <w:color w:val="auto"/>
          <w:highlight w:val="none"/>
        </w:rPr>
        <w:fldChar w:fldCharType="begin"/>
      </w:r>
      <w:r>
        <w:rPr>
          <w:color w:val="auto"/>
          <w:highlight w:val="none"/>
        </w:rPr>
        <w:instrText xml:space="preserve"> PAGEREF _Toc17847 </w:instrText>
      </w:r>
      <w:r>
        <w:rPr>
          <w:color w:val="auto"/>
          <w:highlight w:val="none"/>
        </w:rPr>
        <w:fldChar w:fldCharType="separate"/>
      </w:r>
      <w:r>
        <w:rPr>
          <w:color w:val="auto"/>
          <w:highlight w:val="none"/>
        </w:rPr>
        <w:t>- 16 -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45"/>
        <w:tabs>
          <w:tab w:val="right" w:leader="dot" w:pos="9412"/>
        </w:tabs>
        <w:rPr>
          <w:color w:val="auto"/>
          <w:highlight w:val="none"/>
        </w:rPr>
      </w:pP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_Toc25423 </w:instrText>
      </w:r>
      <w:r>
        <w:rPr>
          <w:rFonts w:hint="eastAsia" w:ascii="方正仿宋_GBK" w:hAnsi="宋体" w:eastAsia="方正仿宋_GBK"/>
          <w:color w:val="auto"/>
          <w:szCs w:val="24"/>
          <w:highlight w:val="none"/>
        </w:rPr>
        <w:fldChar w:fldCharType="separate"/>
      </w:r>
      <w:r>
        <w:rPr>
          <w:rFonts w:hint="eastAsia" w:ascii="方正小标宋_GBK" w:hAnsi="方正小标宋_GBK" w:eastAsia="方正小标宋_GBK" w:cs="方正小标宋_GBK"/>
          <w:bCs/>
          <w:color w:val="auto"/>
          <w:szCs w:val="44"/>
          <w:highlight w:val="none"/>
        </w:rPr>
        <w:t xml:space="preserve">第五篇  </w:t>
      </w:r>
      <w:r>
        <w:rPr>
          <w:rFonts w:hint="eastAsia" w:ascii="方正小标宋_GBK" w:hAnsi="方正小标宋_GBK" w:eastAsia="方正小标宋_GBK" w:cs="方正小标宋_GBK"/>
          <w:bCs/>
          <w:color w:val="auto"/>
          <w:szCs w:val="44"/>
          <w:highlight w:val="none"/>
          <w:lang w:eastAsia="zh-CN"/>
        </w:rPr>
        <w:t>供应商</w:t>
      </w:r>
      <w:r>
        <w:rPr>
          <w:rFonts w:hint="eastAsia" w:ascii="方正小标宋_GBK" w:hAnsi="方正小标宋_GBK" w:eastAsia="方正小标宋_GBK" w:cs="方正小标宋_GBK"/>
          <w:bCs/>
          <w:color w:val="auto"/>
          <w:szCs w:val="44"/>
          <w:highlight w:val="none"/>
        </w:rPr>
        <w:t>须知</w:t>
      </w:r>
      <w:r>
        <w:rPr>
          <w:color w:val="auto"/>
          <w:highlight w:val="none"/>
        </w:rPr>
        <w:tab/>
      </w:r>
      <w:r>
        <w:rPr>
          <w:color w:val="auto"/>
          <w:highlight w:val="none"/>
        </w:rPr>
        <w:fldChar w:fldCharType="begin"/>
      </w:r>
      <w:r>
        <w:rPr>
          <w:color w:val="auto"/>
          <w:highlight w:val="none"/>
        </w:rPr>
        <w:instrText xml:space="preserve"> PAGEREF _Toc25423 </w:instrText>
      </w:r>
      <w:r>
        <w:rPr>
          <w:color w:val="auto"/>
          <w:highlight w:val="none"/>
        </w:rPr>
        <w:fldChar w:fldCharType="separate"/>
      </w:r>
      <w:r>
        <w:rPr>
          <w:color w:val="auto"/>
          <w:highlight w:val="none"/>
        </w:rPr>
        <w:t>- 17 -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45"/>
        <w:tabs>
          <w:tab w:val="right" w:leader="dot" w:pos="9412"/>
        </w:tabs>
        <w:rPr>
          <w:color w:val="auto"/>
          <w:highlight w:val="none"/>
        </w:rPr>
      </w:pP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_Toc20768 </w:instrText>
      </w:r>
      <w:r>
        <w:rPr>
          <w:rFonts w:hint="eastAsia" w:ascii="方正仿宋_GBK" w:hAnsi="宋体" w:eastAsia="方正仿宋_GBK"/>
          <w:color w:val="auto"/>
          <w:szCs w:val="24"/>
          <w:highlight w:val="none"/>
        </w:rPr>
        <w:fldChar w:fldCharType="separate"/>
      </w:r>
      <w:r>
        <w:rPr>
          <w:rFonts w:hint="eastAsia" w:ascii="黑体" w:hAnsi="黑体" w:eastAsia="黑体" w:cs="黑体"/>
          <w:bCs/>
          <w:color w:val="auto"/>
          <w:szCs w:val="24"/>
          <w:highlight w:val="none"/>
        </w:rPr>
        <w:t>一、</w:t>
      </w:r>
      <w:r>
        <w:rPr>
          <w:rFonts w:hint="eastAsia" w:ascii="黑体" w:hAnsi="黑体" w:eastAsia="黑体" w:cs="黑体"/>
          <w:bCs/>
          <w:color w:val="auto"/>
          <w:szCs w:val="24"/>
          <w:highlight w:val="none"/>
          <w:lang w:val="en-US" w:eastAsia="zh-CN"/>
        </w:rPr>
        <w:t>遴选</w:t>
      </w:r>
      <w:r>
        <w:rPr>
          <w:rFonts w:hint="eastAsia" w:ascii="黑体" w:hAnsi="黑体" w:eastAsia="黑体" w:cs="黑体"/>
          <w:bCs/>
          <w:color w:val="auto"/>
          <w:szCs w:val="24"/>
          <w:highlight w:val="none"/>
        </w:rPr>
        <w:t>费用</w:t>
      </w:r>
      <w:r>
        <w:rPr>
          <w:color w:val="auto"/>
          <w:highlight w:val="none"/>
        </w:rPr>
        <w:tab/>
      </w:r>
      <w:r>
        <w:rPr>
          <w:color w:val="auto"/>
          <w:highlight w:val="none"/>
        </w:rPr>
        <w:fldChar w:fldCharType="begin"/>
      </w:r>
      <w:r>
        <w:rPr>
          <w:color w:val="auto"/>
          <w:highlight w:val="none"/>
        </w:rPr>
        <w:instrText xml:space="preserve"> PAGEREF _Toc20768 </w:instrText>
      </w:r>
      <w:r>
        <w:rPr>
          <w:color w:val="auto"/>
          <w:highlight w:val="none"/>
        </w:rPr>
        <w:fldChar w:fldCharType="separate"/>
      </w:r>
      <w:r>
        <w:rPr>
          <w:color w:val="auto"/>
          <w:highlight w:val="none"/>
        </w:rPr>
        <w:t>- 17 -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45"/>
        <w:tabs>
          <w:tab w:val="right" w:leader="dot" w:pos="9412"/>
        </w:tabs>
        <w:rPr>
          <w:color w:val="auto"/>
          <w:highlight w:val="none"/>
        </w:rPr>
      </w:pP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_Toc14481 </w:instrText>
      </w:r>
      <w:r>
        <w:rPr>
          <w:rFonts w:hint="eastAsia" w:ascii="方正仿宋_GBK" w:hAnsi="宋体" w:eastAsia="方正仿宋_GBK"/>
          <w:color w:val="auto"/>
          <w:szCs w:val="24"/>
          <w:highlight w:val="none"/>
        </w:rPr>
        <w:fldChar w:fldCharType="separate"/>
      </w:r>
      <w:r>
        <w:rPr>
          <w:rFonts w:hint="eastAsia" w:ascii="黑体" w:hAnsi="黑体" w:eastAsia="黑体" w:cs="黑体"/>
          <w:bCs/>
          <w:color w:val="auto"/>
          <w:szCs w:val="24"/>
          <w:highlight w:val="none"/>
        </w:rPr>
        <w:t>二、</w:t>
      </w:r>
      <w:r>
        <w:rPr>
          <w:rFonts w:hint="eastAsia" w:ascii="黑体" w:hAnsi="黑体" w:eastAsia="黑体" w:cs="黑体"/>
          <w:bCs/>
          <w:color w:val="auto"/>
          <w:szCs w:val="24"/>
          <w:highlight w:val="none"/>
          <w:lang w:val="en-US" w:eastAsia="zh-CN"/>
        </w:rPr>
        <w:t>遴选</w:t>
      </w:r>
      <w:r>
        <w:rPr>
          <w:rFonts w:hint="eastAsia" w:ascii="黑体" w:hAnsi="黑体" w:eastAsia="黑体" w:cs="黑体"/>
          <w:bCs/>
          <w:color w:val="auto"/>
          <w:szCs w:val="24"/>
          <w:highlight w:val="none"/>
        </w:rPr>
        <w:t>文件</w:t>
      </w:r>
      <w:r>
        <w:rPr>
          <w:color w:val="auto"/>
          <w:highlight w:val="none"/>
        </w:rPr>
        <w:tab/>
      </w:r>
      <w:r>
        <w:rPr>
          <w:color w:val="auto"/>
          <w:highlight w:val="none"/>
        </w:rPr>
        <w:fldChar w:fldCharType="begin"/>
      </w:r>
      <w:r>
        <w:rPr>
          <w:color w:val="auto"/>
          <w:highlight w:val="none"/>
        </w:rPr>
        <w:instrText xml:space="preserve"> PAGEREF _Toc14481 </w:instrText>
      </w:r>
      <w:r>
        <w:rPr>
          <w:color w:val="auto"/>
          <w:highlight w:val="none"/>
        </w:rPr>
        <w:fldChar w:fldCharType="separate"/>
      </w:r>
      <w:r>
        <w:rPr>
          <w:color w:val="auto"/>
          <w:highlight w:val="none"/>
        </w:rPr>
        <w:t>- 17 -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45"/>
        <w:tabs>
          <w:tab w:val="right" w:leader="dot" w:pos="9412"/>
        </w:tabs>
        <w:rPr>
          <w:color w:val="auto"/>
          <w:highlight w:val="none"/>
        </w:rPr>
      </w:pP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_Toc8580 </w:instrText>
      </w:r>
      <w:r>
        <w:rPr>
          <w:rFonts w:hint="eastAsia" w:ascii="方正仿宋_GBK" w:hAnsi="宋体" w:eastAsia="方正仿宋_GBK"/>
          <w:color w:val="auto"/>
          <w:szCs w:val="24"/>
          <w:highlight w:val="none"/>
        </w:rPr>
        <w:fldChar w:fldCharType="separate"/>
      </w:r>
      <w:r>
        <w:rPr>
          <w:rFonts w:hint="eastAsia" w:ascii="黑体" w:hAnsi="黑体" w:eastAsia="黑体" w:cs="黑体"/>
          <w:bCs/>
          <w:color w:val="auto"/>
          <w:szCs w:val="24"/>
          <w:highlight w:val="none"/>
        </w:rPr>
        <w:t>三、</w:t>
      </w:r>
      <w:r>
        <w:rPr>
          <w:rFonts w:hint="eastAsia" w:ascii="黑体" w:hAnsi="黑体" w:eastAsia="黑体" w:cs="黑体"/>
          <w:bCs/>
          <w:color w:val="auto"/>
          <w:szCs w:val="24"/>
          <w:highlight w:val="none"/>
          <w:lang w:val="en-US" w:eastAsia="zh-CN"/>
        </w:rPr>
        <w:t>遴选</w:t>
      </w:r>
      <w:r>
        <w:rPr>
          <w:rFonts w:hint="eastAsia" w:ascii="黑体" w:hAnsi="黑体" w:eastAsia="黑体" w:cs="黑体"/>
          <w:bCs/>
          <w:color w:val="auto"/>
          <w:szCs w:val="24"/>
          <w:highlight w:val="none"/>
        </w:rPr>
        <w:t>要求</w:t>
      </w:r>
      <w:r>
        <w:rPr>
          <w:color w:val="auto"/>
          <w:highlight w:val="none"/>
        </w:rPr>
        <w:tab/>
      </w:r>
      <w:r>
        <w:rPr>
          <w:color w:val="auto"/>
          <w:highlight w:val="none"/>
        </w:rPr>
        <w:fldChar w:fldCharType="begin"/>
      </w:r>
      <w:r>
        <w:rPr>
          <w:color w:val="auto"/>
          <w:highlight w:val="none"/>
        </w:rPr>
        <w:instrText xml:space="preserve"> PAGEREF _Toc8580 </w:instrText>
      </w:r>
      <w:r>
        <w:rPr>
          <w:color w:val="auto"/>
          <w:highlight w:val="none"/>
        </w:rPr>
        <w:fldChar w:fldCharType="separate"/>
      </w:r>
      <w:r>
        <w:rPr>
          <w:color w:val="auto"/>
          <w:highlight w:val="none"/>
        </w:rPr>
        <w:t>- 17 -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45"/>
        <w:tabs>
          <w:tab w:val="right" w:leader="dot" w:pos="9412"/>
        </w:tabs>
        <w:rPr>
          <w:color w:val="auto"/>
          <w:highlight w:val="none"/>
        </w:rPr>
      </w:pP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_Toc13068 </w:instrText>
      </w:r>
      <w:r>
        <w:rPr>
          <w:rFonts w:hint="eastAsia" w:ascii="方正仿宋_GBK" w:hAnsi="宋体" w:eastAsia="方正仿宋_GBK"/>
          <w:color w:val="auto"/>
          <w:szCs w:val="24"/>
          <w:highlight w:val="none"/>
        </w:rPr>
        <w:fldChar w:fldCharType="separate"/>
      </w:r>
      <w:r>
        <w:rPr>
          <w:rFonts w:hint="eastAsia" w:ascii="黑体" w:hAnsi="黑体" w:eastAsia="黑体" w:cs="黑体"/>
          <w:bCs/>
          <w:color w:val="auto"/>
          <w:szCs w:val="24"/>
          <w:highlight w:val="none"/>
        </w:rPr>
        <w:t>四、</w:t>
      </w:r>
      <w:r>
        <w:rPr>
          <w:rFonts w:hint="eastAsia" w:ascii="黑体" w:hAnsi="黑体" w:eastAsia="黑体" w:cs="黑体"/>
          <w:bCs/>
          <w:color w:val="auto"/>
          <w:szCs w:val="24"/>
          <w:highlight w:val="none"/>
          <w:lang w:eastAsia="zh-CN"/>
        </w:rPr>
        <w:t>成交供应商</w:t>
      </w:r>
      <w:r>
        <w:rPr>
          <w:rFonts w:hint="eastAsia" w:ascii="黑体" w:hAnsi="黑体" w:eastAsia="黑体" w:cs="黑体"/>
          <w:bCs/>
          <w:color w:val="auto"/>
          <w:szCs w:val="24"/>
          <w:highlight w:val="none"/>
        </w:rPr>
        <w:t>的确认和变更</w:t>
      </w:r>
      <w:r>
        <w:rPr>
          <w:color w:val="auto"/>
          <w:highlight w:val="none"/>
        </w:rPr>
        <w:tab/>
      </w:r>
      <w:r>
        <w:rPr>
          <w:color w:val="auto"/>
          <w:highlight w:val="none"/>
        </w:rPr>
        <w:fldChar w:fldCharType="begin"/>
      </w:r>
      <w:r>
        <w:rPr>
          <w:color w:val="auto"/>
          <w:highlight w:val="none"/>
        </w:rPr>
        <w:instrText xml:space="preserve"> PAGEREF _Toc13068 </w:instrText>
      </w:r>
      <w:r>
        <w:rPr>
          <w:color w:val="auto"/>
          <w:highlight w:val="none"/>
        </w:rPr>
        <w:fldChar w:fldCharType="separate"/>
      </w:r>
      <w:r>
        <w:rPr>
          <w:color w:val="auto"/>
          <w:highlight w:val="none"/>
        </w:rPr>
        <w:t>- 18 -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45"/>
        <w:tabs>
          <w:tab w:val="right" w:leader="dot" w:pos="9412"/>
        </w:tabs>
        <w:rPr>
          <w:color w:val="auto"/>
          <w:highlight w:val="none"/>
        </w:rPr>
      </w:pP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_Toc23230 </w:instrText>
      </w:r>
      <w:r>
        <w:rPr>
          <w:rFonts w:hint="eastAsia" w:ascii="方正仿宋_GBK" w:hAnsi="宋体" w:eastAsia="方正仿宋_GBK"/>
          <w:color w:val="auto"/>
          <w:szCs w:val="24"/>
          <w:highlight w:val="none"/>
        </w:rPr>
        <w:fldChar w:fldCharType="separate"/>
      </w:r>
      <w:r>
        <w:rPr>
          <w:rFonts w:hint="eastAsia" w:ascii="黑体" w:hAnsi="黑体" w:eastAsia="黑体" w:cs="黑体"/>
          <w:bCs/>
          <w:color w:val="auto"/>
          <w:szCs w:val="24"/>
          <w:highlight w:val="none"/>
        </w:rPr>
        <w:t>五、成交通知</w:t>
      </w:r>
      <w:r>
        <w:rPr>
          <w:color w:val="auto"/>
          <w:highlight w:val="none"/>
        </w:rPr>
        <w:tab/>
      </w:r>
      <w:r>
        <w:rPr>
          <w:color w:val="auto"/>
          <w:highlight w:val="none"/>
        </w:rPr>
        <w:fldChar w:fldCharType="begin"/>
      </w:r>
      <w:r>
        <w:rPr>
          <w:color w:val="auto"/>
          <w:highlight w:val="none"/>
        </w:rPr>
        <w:instrText xml:space="preserve"> PAGEREF _Toc23230 </w:instrText>
      </w:r>
      <w:r>
        <w:rPr>
          <w:color w:val="auto"/>
          <w:highlight w:val="none"/>
        </w:rPr>
        <w:fldChar w:fldCharType="separate"/>
      </w:r>
      <w:r>
        <w:rPr>
          <w:color w:val="auto"/>
          <w:highlight w:val="none"/>
        </w:rPr>
        <w:t>- 18 -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45"/>
        <w:tabs>
          <w:tab w:val="right" w:leader="dot" w:pos="9412"/>
        </w:tabs>
        <w:rPr>
          <w:color w:val="auto"/>
          <w:highlight w:val="none"/>
        </w:rPr>
      </w:pP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_Toc19062 </w:instrText>
      </w:r>
      <w:r>
        <w:rPr>
          <w:rFonts w:hint="eastAsia" w:ascii="方正仿宋_GBK" w:hAnsi="宋体" w:eastAsia="方正仿宋_GBK"/>
          <w:color w:val="auto"/>
          <w:szCs w:val="24"/>
          <w:highlight w:val="none"/>
        </w:rPr>
        <w:fldChar w:fldCharType="separate"/>
      </w:r>
      <w:r>
        <w:rPr>
          <w:rFonts w:hint="eastAsia" w:ascii="黑体" w:hAnsi="黑体" w:eastAsia="黑体" w:cs="黑体"/>
          <w:bCs/>
          <w:color w:val="auto"/>
          <w:szCs w:val="24"/>
          <w:highlight w:val="none"/>
        </w:rPr>
        <w:t>六、质疑</w:t>
      </w:r>
      <w:r>
        <w:rPr>
          <w:rFonts w:hint="eastAsia" w:ascii="黑体" w:hAnsi="黑体" w:eastAsia="黑体" w:cs="黑体"/>
          <w:bCs/>
          <w:color w:val="auto"/>
          <w:szCs w:val="24"/>
          <w:highlight w:val="none"/>
          <w:lang w:val="en-US" w:eastAsia="zh-CN"/>
        </w:rPr>
        <w:t>处理</w:t>
      </w:r>
      <w:r>
        <w:rPr>
          <w:color w:val="auto"/>
          <w:highlight w:val="none"/>
        </w:rPr>
        <w:tab/>
      </w:r>
      <w:r>
        <w:rPr>
          <w:color w:val="auto"/>
          <w:highlight w:val="none"/>
        </w:rPr>
        <w:fldChar w:fldCharType="begin"/>
      </w:r>
      <w:r>
        <w:rPr>
          <w:color w:val="auto"/>
          <w:highlight w:val="none"/>
        </w:rPr>
        <w:instrText xml:space="preserve"> PAGEREF _Toc19062 </w:instrText>
      </w:r>
      <w:r>
        <w:rPr>
          <w:color w:val="auto"/>
          <w:highlight w:val="none"/>
        </w:rPr>
        <w:fldChar w:fldCharType="separate"/>
      </w:r>
      <w:r>
        <w:rPr>
          <w:color w:val="auto"/>
          <w:highlight w:val="none"/>
        </w:rPr>
        <w:t>- 19 -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45"/>
        <w:tabs>
          <w:tab w:val="right" w:leader="dot" w:pos="9412"/>
        </w:tabs>
        <w:rPr>
          <w:color w:val="auto"/>
          <w:highlight w:val="none"/>
        </w:rPr>
      </w:pP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_Toc5074 </w:instrText>
      </w:r>
      <w:r>
        <w:rPr>
          <w:rFonts w:hint="eastAsia" w:ascii="方正仿宋_GBK" w:hAnsi="宋体" w:eastAsia="方正仿宋_GBK"/>
          <w:color w:val="auto"/>
          <w:szCs w:val="24"/>
          <w:highlight w:val="none"/>
        </w:rPr>
        <w:fldChar w:fldCharType="separate"/>
      </w:r>
      <w:r>
        <w:rPr>
          <w:rFonts w:hint="eastAsia" w:ascii="黑体" w:hAnsi="黑体" w:eastAsia="黑体" w:cs="黑体"/>
          <w:bCs/>
          <w:color w:val="auto"/>
          <w:szCs w:val="24"/>
          <w:highlight w:val="none"/>
        </w:rPr>
        <w:t>七、签订合同</w:t>
      </w:r>
      <w:r>
        <w:rPr>
          <w:color w:val="auto"/>
          <w:highlight w:val="none"/>
        </w:rPr>
        <w:tab/>
      </w:r>
      <w:r>
        <w:rPr>
          <w:color w:val="auto"/>
          <w:highlight w:val="none"/>
        </w:rPr>
        <w:fldChar w:fldCharType="begin"/>
      </w:r>
      <w:r>
        <w:rPr>
          <w:color w:val="auto"/>
          <w:highlight w:val="none"/>
        </w:rPr>
        <w:instrText xml:space="preserve"> PAGEREF _Toc5074 </w:instrText>
      </w:r>
      <w:r>
        <w:rPr>
          <w:color w:val="auto"/>
          <w:highlight w:val="none"/>
        </w:rPr>
        <w:fldChar w:fldCharType="separate"/>
      </w:r>
      <w:r>
        <w:rPr>
          <w:color w:val="auto"/>
          <w:highlight w:val="none"/>
        </w:rPr>
        <w:t>- 20 -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45"/>
        <w:tabs>
          <w:tab w:val="right" w:leader="dot" w:pos="9412"/>
        </w:tabs>
        <w:rPr>
          <w:color w:val="auto"/>
          <w:highlight w:val="none"/>
        </w:rPr>
      </w:pP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_Toc18274 </w:instrText>
      </w:r>
      <w:r>
        <w:rPr>
          <w:rFonts w:hint="eastAsia" w:ascii="方正仿宋_GBK" w:hAnsi="宋体" w:eastAsia="方正仿宋_GBK"/>
          <w:color w:val="auto"/>
          <w:szCs w:val="24"/>
          <w:highlight w:val="none"/>
        </w:rPr>
        <w:fldChar w:fldCharType="separate"/>
      </w:r>
      <w:r>
        <w:rPr>
          <w:rFonts w:hint="eastAsia" w:ascii="方正小标宋_GBK" w:hAnsi="方正小标宋_GBK" w:eastAsia="方正小标宋_GBK" w:cs="方正小标宋_GBK"/>
          <w:bCs/>
          <w:color w:val="auto"/>
          <w:szCs w:val="44"/>
          <w:highlight w:val="none"/>
        </w:rPr>
        <w:t>第六篇  响应文件编制要求</w:t>
      </w:r>
      <w:r>
        <w:rPr>
          <w:color w:val="auto"/>
          <w:highlight w:val="none"/>
        </w:rPr>
        <w:tab/>
      </w:r>
      <w:r>
        <w:rPr>
          <w:color w:val="auto"/>
          <w:highlight w:val="none"/>
        </w:rPr>
        <w:fldChar w:fldCharType="begin"/>
      </w:r>
      <w:r>
        <w:rPr>
          <w:color w:val="auto"/>
          <w:highlight w:val="none"/>
        </w:rPr>
        <w:instrText xml:space="preserve"> PAGEREF _Toc18274 </w:instrText>
      </w:r>
      <w:r>
        <w:rPr>
          <w:color w:val="auto"/>
          <w:highlight w:val="none"/>
        </w:rPr>
        <w:fldChar w:fldCharType="separate"/>
      </w:r>
      <w:r>
        <w:rPr>
          <w:color w:val="auto"/>
          <w:highlight w:val="none"/>
        </w:rPr>
        <w:t>- 21 -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45"/>
        <w:tabs>
          <w:tab w:val="right" w:leader="dot" w:pos="9412"/>
        </w:tabs>
        <w:rPr>
          <w:color w:val="auto"/>
          <w:highlight w:val="none"/>
        </w:rPr>
      </w:pP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_Toc12859 </w:instrText>
      </w:r>
      <w:r>
        <w:rPr>
          <w:rFonts w:hint="eastAsia" w:ascii="方正仿宋_GBK" w:hAnsi="宋体" w:eastAsia="方正仿宋_GBK"/>
          <w:color w:val="auto"/>
          <w:szCs w:val="24"/>
          <w:highlight w:val="none"/>
        </w:rPr>
        <w:fldChar w:fldCharType="separate"/>
      </w:r>
      <w:r>
        <w:rPr>
          <w:rFonts w:hint="eastAsia" w:ascii="黑体" w:hAnsi="黑体" w:eastAsia="黑体" w:cs="黑体"/>
          <w:bCs/>
          <w:color w:val="auto"/>
          <w:szCs w:val="24"/>
          <w:highlight w:val="none"/>
        </w:rPr>
        <w:t>一、经济部分</w:t>
      </w:r>
      <w:r>
        <w:rPr>
          <w:color w:val="auto"/>
          <w:highlight w:val="none"/>
        </w:rPr>
        <w:tab/>
      </w:r>
      <w:r>
        <w:rPr>
          <w:color w:val="auto"/>
          <w:highlight w:val="none"/>
        </w:rPr>
        <w:fldChar w:fldCharType="begin"/>
      </w:r>
      <w:r>
        <w:rPr>
          <w:color w:val="auto"/>
          <w:highlight w:val="none"/>
        </w:rPr>
        <w:instrText xml:space="preserve"> PAGEREF _Toc12859 </w:instrText>
      </w:r>
      <w:r>
        <w:rPr>
          <w:color w:val="auto"/>
          <w:highlight w:val="none"/>
        </w:rPr>
        <w:fldChar w:fldCharType="separate"/>
      </w:r>
      <w:r>
        <w:rPr>
          <w:color w:val="auto"/>
          <w:highlight w:val="none"/>
        </w:rPr>
        <w:t>- 23 -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45"/>
        <w:tabs>
          <w:tab w:val="right" w:leader="dot" w:pos="9412"/>
        </w:tabs>
        <w:rPr>
          <w:color w:val="auto"/>
          <w:highlight w:val="none"/>
        </w:rPr>
      </w:pP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_Toc966 </w:instrText>
      </w:r>
      <w:r>
        <w:rPr>
          <w:rFonts w:hint="eastAsia" w:ascii="方正仿宋_GBK" w:hAnsi="宋体" w:eastAsia="方正仿宋_GBK"/>
          <w:color w:val="auto"/>
          <w:szCs w:val="24"/>
          <w:highlight w:val="none"/>
        </w:rPr>
        <w:fldChar w:fldCharType="separate"/>
      </w:r>
      <w:r>
        <w:rPr>
          <w:rFonts w:hint="eastAsia" w:ascii="黑体" w:hAnsi="黑体" w:eastAsia="黑体" w:cs="黑体"/>
          <w:bCs/>
          <w:color w:val="auto"/>
          <w:szCs w:val="24"/>
          <w:highlight w:val="none"/>
        </w:rPr>
        <w:t>二、服务部分</w:t>
      </w:r>
      <w:r>
        <w:rPr>
          <w:color w:val="auto"/>
          <w:highlight w:val="none"/>
        </w:rPr>
        <w:tab/>
      </w:r>
      <w:r>
        <w:rPr>
          <w:color w:val="auto"/>
          <w:highlight w:val="none"/>
        </w:rPr>
        <w:fldChar w:fldCharType="begin"/>
      </w:r>
      <w:r>
        <w:rPr>
          <w:color w:val="auto"/>
          <w:highlight w:val="none"/>
        </w:rPr>
        <w:instrText xml:space="preserve"> PAGEREF _Toc966 </w:instrText>
      </w:r>
      <w:r>
        <w:rPr>
          <w:color w:val="auto"/>
          <w:highlight w:val="none"/>
        </w:rPr>
        <w:fldChar w:fldCharType="separate"/>
      </w:r>
      <w:r>
        <w:rPr>
          <w:color w:val="auto"/>
          <w:highlight w:val="none"/>
        </w:rPr>
        <w:t>- 25 -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45"/>
        <w:tabs>
          <w:tab w:val="right" w:leader="dot" w:pos="9412"/>
        </w:tabs>
        <w:rPr>
          <w:color w:val="auto"/>
          <w:highlight w:val="none"/>
        </w:rPr>
      </w:pP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_Toc12500 </w:instrText>
      </w:r>
      <w:r>
        <w:rPr>
          <w:rFonts w:hint="eastAsia" w:ascii="方正仿宋_GBK" w:hAnsi="宋体" w:eastAsia="方正仿宋_GBK"/>
          <w:color w:val="auto"/>
          <w:szCs w:val="24"/>
          <w:highlight w:val="none"/>
        </w:rPr>
        <w:fldChar w:fldCharType="separate"/>
      </w:r>
      <w:r>
        <w:rPr>
          <w:rFonts w:hint="eastAsia" w:ascii="黑体" w:hAnsi="黑体" w:eastAsia="黑体" w:cs="黑体"/>
          <w:bCs/>
          <w:color w:val="auto"/>
          <w:szCs w:val="24"/>
          <w:highlight w:val="none"/>
        </w:rPr>
        <w:t>三、商务部分</w:t>
      </w:r>
      <w:r>
        <w:rPr>
          <w:color w:val="auto"/>
          <w:highlight w:val="none"/>
        </w:rPr>
        <w:tab/>
      </w:r>
      <w:r>
        <w:rPr>
          <w:color w:val="auto"/>
          <w:highlight w:val="none"/>
        </w:rPr>
        <w:fldChar w:fldCharType="begin"/>
      </w:r>
      <w:r>
        <w:rPr>
          <w:color w:val="auto"/>
          <w:highlight w:val="none"/>
        </w:rPr>
        <w:instrText xml:space="preserve"> PAGEREF _Toc12500 </w:instrText>
      </w:r>
      <w:r>
        <w:rPr>
          <w:color w:val="auto"/>
          <w:highlight w:val="none"/>
        </w:rPr>
        <w:fldChar w:fldCharType="separate"/>
      </w:r>
      <w:r>
        <w:rPr>
          <w:color w:val="auto"/>
          <w:highlight w:val="none"/>
        </w:rPr>
        <w:t>- 27 -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45"/>
        <w:tabs>
          <w:tab w:val="right" w:leader="dot" w:pos="9412"/>
        </w:tabs>
        <w:rPr>
          <w:color w:val="auto"/>
          <w:highlight w:val="none"/>
        </w:rPr>
      </w:pP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_Toc31944 </w:instrText>
      </w:r>
      <w:r>
        <w:rPr>
          <w:rFonts w:hint="eastAsia" w:ascii="方正仿宋_GBK" w:hAnsi="宋体" w:eastAsia="方正仿宋_GBK"/>
          <w:color w:val="auto"/>
          <w:szCs w:val="24"/>
          <w:highlight w:val="none"/>
        </w:rPr>
        <w:fldChar w:fldCharType="separate"/>
      </w:r>
      <w:r>
        <w:rPr>
          <w:rFonts w:hint="eastAsia" w:ascii="黑体" w:hAnsi="黑体" w:eastAsia="黑体" w:cs="黑体"/>
          <w:bCs/>
          <w:color w:val="auto"/>
          <w:szCs w:val="24"/>
          <w:highlight w:val="none"/>
        </w:rPr>
        <w:t>四、资格条件</w:t>
      </w:r>
      <w:r>
        <w:rPr>
          <w:color w:val="auto"/>
          <w:highlight w:val="none"/>
        </w:rPr>
        <w:tab/>
      </w:r>
      <w:r>
        <w:rPr>
          <w:color w:val="auto"/>
          <w:highlight w:val="none"/>
        </w:rPr>
        <w:fldChar w:fldCharType="begin"/>
      </w:r>
      <w:r>
        <w:rPr>
          <w:color w:val="auto"/>
          <w:highlight w:val="none"/>
        </w:rPr>
        <w:instrText xml:space="preserve"> PAGEREF _Toc31944 </w:instrText>
      </w:r>
      <w:r>
        <w:rPr>
          <w:color w:val="auto"/>
          <w:highlight w:val="none"/>
        </w:rPr>
        <w:fldChar w:fldCharType="separate"/>
      </w:r>
      <w:r>
        <w:rPr>
          <w:color w:val="auto"/>
          <w:highlight w:val="none"/>
        </w:rPr>
        <w:t>- 29 -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45"/>
        <w:tabs>
          <w:tab w:val="right" w:leader="dot" w:pos="9412"/>
        </w:tabs>
        <w:rPr>
          <w:color w:val="auto"/>
          <w:highlight w:val="none"/>
        </w:rPr>
      </w:pP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_Toc14081 </w:instrText>
      </w:r>
      <w:r>
        <w:rPr>
          <w:rFonts w:hint="eastAsia" w:ascii="方正仿宋_GBK" w:hAnsi="宋体" w:eastAsia="方正仿宋_GBK"/>
          <w:color w:val="auto"/>
          <w:szCs w:val="24"/>
          <w:highlight w:val="none"/>
        </w:rPr>
        <w:fldChar w:fldCharType="separate"/>
      </w:r>
      <w:r>
        <w:rPr>
          <w:rFonts w:hint="eastAsia" w:ascii="黑体" w:hAnsi="黑体" w:eastAsia="黑体" w:cs="黑体"/>
          <w:bCs/>
          <w:color w:val="auto"/>
          <w:szCs w:val="24"/>
          <w:highlight w:val="none"/>
        </w:rPr>
        <w:t>五、其他资料</w:t>
      </w:r>
      <w:r>
        <w:rPr>
          <w:color w:val="auto"/>
          <w:highlight w:val="none"/>
        </w:rPr>
        <w:tab/>
      </w:r>
      <w:r>
        <w:rPr>
          <w:color w:val="auto"/>
          <w:highlight w:val="none"/>
        </w:rPr>
        <w:fldChar w:fldCharType="begin"/>
      </w:r>
      <w:r>
        <w:rPr>
          <w:color w:val="auto"/>
          <w:highlight w:val="none"/>
        </w:rPr>
        <w:instrText xml:space="preserve"> PAGEREF _Toc14081 </w:instrText>
      </w:r>
      <w:r>
        <w:rPr>
          <w:color w:val="auto"/>
          <w:highlight w:val="none"/>
        </w:rPr>
        <w:fldChar w:fldCharType="separate"/>
      </w:r>
      <w:r>
        <w:rPr>
          <w:color w:val="auto"/>
          <w:highlight w:val="none"/>
        </w:rPr>
        <w:t>- 35 -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45"/>
        <w:tabs>
          <w:tab w:val="right" w:leader="dot" w:pos="9402"/>
        </w:tabs>
        <w:spacing w:line="240" w:lineRule="auto"/>
        <w:ind w:left="560"/>
        <w:jc w:val="center"/>
        <w:rPr>
          <w:rFonts w:ascii="方正仿宋_GBK" w:hAnsi="Calibri" w:eastAsia="方正仿宋_GBK"/>
          <w:color w:val="auto"/>
          <w:sz w:val="18"/>
          <w:szCs w:val="22"/>
          <w:highlight w:val="none"/>
        </w:rPr>
        <w:sectPr>
          <w:pgSz w:w="11907" w:h="16840"/>
          <w:pgMar w:top="1134" w:right="1191" w:bottom="1134" w:left="1304" w:header="851" w:footer="992" w:gutter="0"/>
          <w:pgBorders>
            <w:top w:val="none" w:sz="0" w:space="0"/>
            <w:left w:val="none" w:sz="0" w:space="0"/>
            <w:bottom w:val="none" w:sz="0" w:space="0"/>
            <w:right w:val="none" w:sz="0" w:space="0"/>
          </w:pgBorders>
          <w:pgNumType w:fmt="numberInDash" w:start="1"/>
          <w:cols w:space="720" w:num="1"/>
          <w:docGrid w:linePitch="381" w:charSpace="-5735"/>
        </w:sectPr>
      </w:pPr>
      <w:r>
        <w:rPr>
          <w:rFonts w:hint="eastAsia" w:ascii="方正仿宋_GBK" w:hAnsi="宋体" w:eastAsia="方正仿宋_GBK"/>
          <w:color w:val="auto"/>
          <w:sz w:val="24"/>
          <w:szCs w:val="24"/>
          <w:highlight w:val="none"/>
        </w:rPr>
        <w:fldChar w:fldCharType="end"/>
      </w:r>
    </w:p>
    <w:p>
      <w:pPr>
        <w:pStyle w:val="3"/>
        <w:pageBreakBefore w:val="0"/>
        <w:kinsoku/>
        <w:wordWrap/>
        <w:overflowPunct/>
        <w:topLinePunct w:val="0"/>
        <w:autoSpaceDE/>
        <w:autoSpaceDN/>
        <w:bidi w:val="0"/>
        <w:spacing w:before="200" w:after="200" w:line="500" w:lineRule="exact"/>
        <w:jc w:val="center"/>
        <w:rPr>
          <w:rFonts w:hint="eastAsia" w:ascii="方正小标宋_GBK" w:hAnsi="方正小标宋_GBK" w:eastAsia="方正小标宋_GBK" w:cs="方正小标宋_GBK"/>
          <w:b w:val="0"/>
          <w:bCs/>
          <w:color w:val="auto"/>
          <w:sz w:val="44"/>
          <w:szCs w:val="44"/>
          <w:highlight w:val="none"/>
        </w:rPr>
      </w:pPr>
      <w:bookmarkStart w:id="0" w:name="_Toc4880"/>
      <w:bookmarkStart w:id="1" w:name="_Toc12789052"/>
      <w:bookmarkStart w:id="2" w:name="_Toc76462316"/>
      <w:bookmarkStart w:id="3" w:name="_Toc24037"/>
      <w:bookmarkStart w:id="4" w:name="_Toc11055"/>
      <w:bookmarkStart w:id="5" w:name="_Toc11641050"/>
      <w:bookmarkStart w:id="6" w:name="_Toc106030870"/>
      <w:r>
        <w:rPr>
          <w:rFonts w:hint="eastAsia" w:ascii="方正小标宋_GBK" w:hAnsi="方正小标宋_GBK" w:eastAsia="方正小标宋_GBK" w:cs="方正小标宋_GBK"/>
          <w:b w:val="0"/>
          <w:bCs/>
          <w:color w:val="auto"/>
          <w:sz w:val="44"/>
          <w:szCs w:val="44"/>
          <w:highlight w:val="none"/>
        </w:rPr>
        <w:t>第一篇  采购邀请书</w:t>
      </w:r>
      <w:bookmarkEnd w:id="0"/>
      <w:bookmarkEnd w:id="1"/>
      <w:bookmarkEnd w:id="2"/>
      <w:bookmarkEnd w:id="3"/>
      <w:bookmarkEnd w:id="4"/>
      <w:bookmarkEnd w:id="5"/>
      <w:bookmarkEnd w:id="6"/>
    </w:p>
    <w:p>
      <w:pPr>
        <w:pageBreakBefore w:val="0"/>
        <w:kinsoku/>
        <w:wordWrap/>
        <w:overflowPunct/>
        <w:topLinePunct w:val="0"/>
        <w:autoSpaceDE/>
        <w:autoSpaceDN/>
        <w:bidi w:val="0"/>
        <w:snapToGrid/>
        <w:spacing w:line="50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重庆市黔江中心医院</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u w:val="single"/>
          <w:lang w:val="en-US" w:eastAsia="zh-CN"/>
        </w:rPr>
        <w:t>口腔科义齿一批</w:t>
      </w:r>
      <w:r>
        <w:rPr>
          <w:rFonts w:hint="eastAsia" w:ascii="宋体" w:hAnsi="宋体" w:eastAsia="宋体" w:cs="宋体"/>
          <w:color w:val="auto"/>
          <w:sz w:val="24"/>
          <w:szCs w:val="24"/>
          <w:highlight w:val="none"/>
        </w:rPr>
        <w:t>项目进行</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。欢迎有资格的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前来参加。</w:t>
      </w:r>
    </w:p>
    <w:p>
      <w:pPr>
        <w:pStyle w:val="3"/>
        <w:pageBreakBefore w:val="0"/>
        <w:kinsoku/>
        <w:wordWrap/>
        <w:overflowPunct/>
        <w:topLinePunct w:val="0"/>
        <w:autoSpaceDE/>
        <w:autoSpaceDN/>
        <w:bidi w:val="0"/>
        <w:adjustRightInd w:val="0"/>
        <w:snapToGrid w:val="0"/>
        <w:spacing w:before="0" w:after="0" w:line="500" w:lineRule="exact"/>
        <w:ind w:firstLine="480" w:firstLineChars="200"/>
        <w:rPr>
          <w:rFonts w:hint="eastAsia" w:ascii="黑体" w:hAnsi="黑体" w:eastAsia="黑体" w:cs="黑体"/>
          <w:b w:val="0"/>
          <w:bCs/>
          <w:color w:val="auto"/>
          <w:sz w:val="24"/>
          <w:szCs w:val="24"/>
          <w:highlight w:val="none"/>
        </w:rPr>
      </w:pPr>
      <w:bookmarkStart w:id="7" w:name="_Toc6818"/>
      <w:bookmarkStart w:id="8" w:name="_Toc3856"/>
      <w:bookmarkStart w:id="9" w:name="_Toc76462317"/>
      <w:bookmarkStart w:id="10" w:name="_Toc313893526"/>
      <w:bookmarkStart w:id="11" w:name="_Toc29225"/>
      <w:bookmarkStart w:id="12" w:name="_Toc317775175"/>
      <w:bookmarkStart w:id="13" w:name="_Toc106030871"/>
      <w:r>
        <w:rPr>
          <w:rFonts w:hint="eastAsia" w:ascii="黑体" w:hAnsi="黑体" w:eastAsia="黑体" w:cs="黑体"/>
          <w:b w:val="0"/>
          <w:bCs/>
          <w:color w:val="auto"/>
          <w:sz w:val="24"/>
          <w:szCs w:val="24"/>
          <w:highlight w:val="none"/>
        </w:rPr>
        <w:t>一、</w:t>
      </w:r>
      <w:r>
        <w:rPr>
          <w:rFonts w:hint="eastAsia" w:ascii="黑体" w:hAnsi="黑体" w:eastAsia="黑体" w:cs="黑体"/>
          <w:b w:val="0"/>
          <w:bCs/>
          <w:color w:val="auto"/>
          <w:sz w:val="24"/>
          <w:szCs w:val="24"/>
          <w:highlight w:val="none"/>
          <w:lang w:val="en-US" w:eastAsia="zh-CN"/>
        </w:rPr>
        <w:t>遴选</w:t>
      </w:r>
      <w:r>
        <w:rPr>
          <w:rFonts w:hint="eastAsia" w:ascii="黑体" w:hAnsi="黑体" w:eastAsia="黑体" w:cs="黑体"/>
          <w:b w:val="0"/>
          <w:bCs/>
          <w:color w:val="auto"/>
          <w:sz w:val="24"/>
          <w:szCs w:val="24"/>
          <w:highlight w:val="none"/>
        </w:rPr>
        <w:t>内容</w:t>
      </w:r>
      <w:bookmarkEnd w:id="7"/>
      <w:bookmarkEnd w:id="8"/>
      <w:bookmarkEnd w:id="9"/>
      <w:bookmarkEnd w:id="10"/>
      <w:bookmarkEnd w:id="11"/>
      <w:bookmarkEnd w:id="12"/>
      <w:bookmarkEnd w:id="13"/>
    </w:p>
    <w:tbl>
      <w:tblPr>
        <w:tblStyle w:val="57"/>
        <w:tblW w:w="8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4"/>
        <w:gridCol w:w="2307"/>
        <w:gridCol w:w="2401"/>
        <w:gridCol w:w="1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504"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rPr>
                <w:rFonts w:hint="eastAsia" w:ascii="黑体" w:hAnsi="黑体" w:eastAsia="黑体" w:cs="黑体"/>
                <w:b w:val="0"/>
                <w:bCs w:val="0"/>
                <w:color w:val="auto"/>
                <w:kern w:val="0"/>
                <w:sz w:val="24"/>
                <w:szCs w:val="24"/>
                <w:highlight w:val="none"/>
              </w:rPr>
            </w:pPr>
            <w:bookmarkStart w:id="14" w:name="_Toc76462318"/>
            <w:bookmarkStart w:id="15" w:name="_Toc106030872"/>
            <w:bookmarkStart w:id="16" w:name="_Toc373860293"/>
            <w:bookmarkStart w:id="17" w:name="_Toc317775178"/>
            <w:r>
              <w:rPr>
                <w:rFonts w:hint="eastAsia" w:ascii="黑体" w:hAnsi="黑体" w:eastAsia="黑体" w:cs="黑体"/>
                <w:b w:val="0"/>
                <w:bCs w:val="0"/>
                <w:color w:val="auto"/>
                <w:kern w:val="0"/>
                <w:sz w:val="24"/>
                <w:szCs w:val="24"/>
                <w:highlight w:val="none"/>
              </w:rPr>
              <w:t>项目编号</w:t>
            </w:r>
          </w:p>
        </w:tc>
        <w:tc>
          <w:tcPr>
            <w:tcW w:w="2307"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rPr>
                <w:rFonts w:hint="eastAsia" w:ascii="黑体" w:hAnsi="黑体" w:eastAsia="黑体" w:cs="黑体"/>
                <w:b w:val="0"/>
                <w:bCs w:val="0"/>
                <w:color w:val="auto"/>
                <w:kern w:val="0"/>
                <w:sz w:val="24"/>
                <w:szCs w:val="24"/>
                <w:highlight w:val="none"/>
              </w:rPr>
            </w:pPr>
            <w:r>
              <w:rPr>
                <w:rFonts w:hint="eastAsia" w:ascii="黑体" w:hAnsi="黑体" w:eastAsia="黑体" w:cs="黑体"/>
                <w:b w:val="0"/>
                <w:bCs w:val="0"/>
                <w:color w:val="auto"/>
                <w:kern w:val="0"/>
                <w:sz w:val="24"/>
                <w:szCs w:val="24"/>
                <w:highlight w:val="none"/>
              </w:rPr>
              <w:t>项目名称</w:t>
            </w:r>
          </w:p>
        </w:tc>
        <w:tc>
          <w:tcPr>
            <w:tcW w:w="2401" w:type="dxa"/>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黑体" w:hAnsi="黑体" w:eastAsia="黑体" w:cs="黑体"/>
                <w:b w:val="0"/>
                <w:bCs w:val="0"/>
                <w:color w:val="auto"/>
                <w:kern w:val="0"/>
                <w:sz w:val="24"/>
                <w:szCs w:val="24"/>
                <w:highlight w:val="none"/>
              </w:rPr>
            </w:pPr>
            <w:r>
              <w:rPr>
                <w:rFonts w:hint="eastAsia" w:ascii="黑体" w:hAnsi="黑体" w:eastAsia="黑体" w:cs="黑体"/>
                <w:b w:val="0"/>
                <w:bCs w:val="0"/>
                <w:color w:val="auto"/>
                <w:kern w:val="0"/>
                <w:sz w:val="24"/>
                <w:szCs w:val="24"/>
                <w:highlight w:val="none"/>
                <w:lang w:eastAsia="zh-CN"/>
              </w:rPr>
              <w:t>成交供应商</w:t>
            </w:r>
            <w:r>
              <w:rPr>
                <w:rFonts w:hint="eastAsia" w:ascii="黑体" w:hAnsi="黑体" w:eastAsia="黑体" w:cs="黑体"/>
                <w:b w:val="0"/>
                <w:bCs w:val="0"/>
                <w:color w:val="auto"/>
                <w:kern w:val="0"/>
                <w:sz w:val="24"/>
                <w:szCs w:val="24"/>
                <w:highlight w:val="none"/>
              </w:rPr>
              <w:t>数量（名）</w:t>
            </w:r>
          </w:p>
        </w:tc>
        <w:tc>
          <w:tcPr>
            <w:tcW w:w="1686" w:type="dxa"/>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黑体" w:hAnsi="黑体" w:eastAsia="黑体" w:cs="黑体"/>
                <w:b w:val="0"/>
                <w:bCs w:val="0"/>
                <w:color w:val="auto"/>
                <w:kern w:val="0"/>
                <w:sz w:val="24"/>
                <w:szCs w:val="24"/>
                <w:highlight w:val="none"/>
                <w:lang w:val="en-US" w:eastAsia="zh-CN"/>
              </w:rPr>
            </w:pPr>
            <w:r>
              <w:rPr>
                <w:rFonts w:hint="eastAsia" w:ascii="黑体" w:hAnsi="黑体" w:eastAsia="黑体" w:cs="黑体"/>
                <w:b w:val="0"/>
                <w:bCs w:val="0"/>
                <w:color w:val="auto"/>
                <w:kern w:val="0"/>
                <w:sz w:val="24"/>
                <w:szCs w:val="24"/>
                <w:highlight w:val="none"/>
                <w:lang w:val="en-US" w:eastAsia="zh-CN"/>
              </w:rPr>
              <w:t>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QJZXYY</w:t>
            </w:r>
            <w:r>
              <w:rPr>
                <w:rFonts w:hint="eastAsia" w:ascii="宋体" w:hAnsi="宋体" w:cs="宋体"/>
                <w:color w:val="auto"/>
                <w:kern w:val="0"/>
                <w:sz w:val="24"/>
                <w:szCs w:val="24"/>
                <w:highlight w:val="none"/>
                <w:lang w:val="en-US" w:eastAsia="zh-CN"/>
              </w:rPr>
              <w:t>ZBK</w:t>
            </w:r>
            <w:r>
              <w:rPr>
                <w:rFonts w:hint="eastAsia" w:ascii="宋体" w:hAnsi="宋体" w:eastAsia="宋体" w:cs="宋体"/>
                <w:color w:val="auto"/>
                <w:kern w:val="0"/>
                <w:sz w:val="24"/>
                <w:szCs w:val="24"/>
                <w:highlight w:val="none"/>
                <w:lang w:val="en-US" w:eastAsia="zh-CN"/>
              </w:rPr>
              <w:t>-2026-</w:t>
            </w:r>
            <w:r>
              <w:rPr>
                <w:rFonts w:hint="eastAsia" w:ascii="宋体" w:hAnsi="宋体" w:cs="宋体"/>
                <w:color w:val="auto"/>
                <w:kern w:val="0"/>
                <w:sz w:val="24"/>
                <w:szCs w:val="24"/>
                <w:highlight w:val="none"/>
                <w:lang w:val="en-US" w:eastAsia="zh-CN"/>
              </w:rPr>
              <w:t>04</w:t>
            </w:r>
          </w:p>
        </w:tc>
        <w:tc>
          <w:tcPr>
            <w:tcW w:w="23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口腔科义齿一批</w:t>
            </w:r>
          </w:p>
        </w:tc>
        <w:tc>
          <w:tcPr>
            <w:tcW w:w="24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6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2000元</w:t>
            </w:r>
          </w:p>
        </w:tc>
      </w:tr>
    </w:tbl>
    <w:p>
      <w:pPr>
        <w:pStyle w:val="3"/>
        <w:pageBreakBefore w:val="0"/>
        <w:widowControl w:val="0"/>
        <w:kinsoku/>
        <w:wordWrap/>
        <w:overflowPunct/>
        <w:topLinePunct w:val="0"/>
        <w:autoSpaceDE/>
        <w:autoSpaceDN/>
        <w:bidi w:val="0"/>
        <w:adjustRightInd w:val="0"/>
        <w:snapToGrid w:val="0"/>
        <w:spacing w:before="0" w:after="0" w:line="480" w:lineRule="exact"/>
        <w:ind w:firstLine="480" w:firstLineChars="200"/>
        <w:textAlignment w:val="auto"/>
        <w:rPr>
          <w:rFonts w:hint="eastAsia" w:ascii="黑体" w:hAnsi="黑体" w:eastAsia="黑体" w:cs="黑体"/>
          <w:b w:val="0"/>
          <w:bCs/>
          <w:color w:val="auto"/>
          <w:sz w:val="24"/>
          <w:szCs w:val="24"/>
          <w:highlight w:val="none"/>
        </w:rPr>
      </w:pPr>
      <w:bookmarkStart w:id="18" w:name="_Toc9755"/>
      <w:bookmarkStart w:id="19" w:name="_Toc9540"/>
      <w:bookmarkStart w:id="20" w:name="_Toc25170"/>
      <w:r>
        <w:rPr>
          <w:rFonts w:hint="eastAsia" w:ascii="黑体" w:hAnsi="黑体" w:eastAsia="黑体" w:cs="黑体"/>
          <w:b w:val="0"/>
          <w:bCs/>
          <w:color w:val="auto"/>
          <w:sz w:val="24"/>
          <w:szCs w:val="24"/>
          <w:highlight w:val="none"/>
        </w:rPr>
        <w:t>二、</w:t>
      </w:r>
      <w:bookmarkEnd w:id="14"/>
      <w:bookmarkEnd w:id="15"/>
      <w:bookmarkEnd w:id="18"/>
      <w:bookmarkStart w:id="21" w:name="_Toc4480"/>
      <w:bookmarkStart w:id="22" w:name="_Toc76462319"/>
      <w:bookmarkStart w:id="23" w:name="_Toc106030873"/>
      <w:r>
        <w:rPr>
          <w:rFonts w:hint="eastAsia" w:ascii="黑体" w:hAnsi="黑体" w:eastAsia="黑体" w:cs="黑体"/>
          <w:b w:val="0"/>
          <w:bCs/>
          <w:color w:val="auto"/>
          <w:sz w:val="24"/>
          <w:szCs w:val="24"/>
          <w:highlight w:val="none"/>
          <w:lang w:val="en-US" w:eastAsia="zh-CN"/>
        </w:rPr>
        <w:t>投标人</w:t>
      </w:r>
      <w:r>
        <w:rPr>
          <w:rFonts w:hint="eastAsia" w:ascii="黑体" w:hAnsi="黑体" w:eastAsia="黑体" w:cs="黑体"/>
          <w:b w:val="0"/>
          <w:bCs/>
          <w:color w:val="auto"/>
          <w:sz w:val="24"/>
          <w:szCs w:val="24"/>
          <w:highlight w:val="none"/>
        </w:rPr>
        <w:t>资格条件</w:t>
      </w:r>
      <w:bookmarkEnd w:id="19"/>
      <w:bookmarkEnd w:id="20"/>
      <w:bookmarkEnd w:id="21"/>
      <w:bookmarkEnd w:id="22"/>
      <w:bookmarkEnd w:id="23"/>
    </w:p>
    <w:p>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（一）满足《中华人民共和国政府采购法》第二十二条规定；</w:t>
      </w:r>
    </w:p>
    <w:p>
      <w:pPr>
        <w:pageBreakBefore w:val="0"/>
        <w:widowControl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（二）本项目的特定资格要求：</w:t>
      </w:r>
    </w:p>
    <w:p>
      <w:pPr>
        <w:pageBreakBefore w:val="0"/>
        <w:widowControl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生产企业的医疗器械生产企业许可证和生产目录表；</w:t>
      </w:r>
    </w:p>
    <w:p>
      <w:pPr>
        <w:pageBreakBefore w:val="0"/>
        <w:widowControl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所投产品属三类医疗器械的，须具备有效期内《医疗器械经营企业许可证》或《医疗器械经营许可证》；</w:t>
      </w:r>
    </w:p>
    <w:p>
      <w:pPr>
        <w:pageBreakBefore w:val="0"/>
        <w:widowControl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所提供产品属二类医疗器械的，须具备有效期内《医疗器械经营企业许可证》或《医疗器械经营许可证》</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《第二类医疗器械经营备案凭证》；</w:t>
      </w:r>
    </w:p>
    <w:p>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所提供产品属一类医疗器械的，须具有所提供产品《第一类医疗器械备案凭证》及《第一类医疗器械备案信息表》</w:t>
      </w:r>
      <w:r>
        <w:rPr>
          <w:rFonts w:hint="eastAsia" w:ascii="宋体" w:hAnsi="宋体" w:cs="宋体"/>
          <w:color w:val="auto"/>
          <w:sz w:val="24"/>
          <w:szCs w:val="24"/>
          <w:highlight w:val="none"/>
          <w:lang w:eastAsia="zh-CN"/>
        </w:rPr>
        <w:t>。</w:t>
      </w:r>
    </w:p>
    <w:p>
      <w:pPr>
        <w:pStyle w:val="3"/>
        <w:pageBreakBefore w:val="0"/>
        <w:widowControl w:val="0"/>
        <w:kinsoku/>
        <w:wordWrap/>
        <w:overflowPunct/>
        <w:topLinePunct w:val="0"/>
        <w:autoSpaceDE/>
        <w:autoSpaceDN/>
        <w:bidi w:val="0"/>
        <w:adjustRightInd w:val="0"/>
        <w:snapToGrid w:val="0"/>
        <w:spacing w:before="0" w:after="0" w:line="480" w:lineRule="exact"/>
        <w:ind w:firstLine="480" w:firstLineChars="200"/>
        <w:textAlignment w:val="auto"/>
        <w:rPr>
          <w:rFonts w:hint="eastAsia" w:ascii="黑体" w:hAnsi="黑体" w:eastAsia="黑体" w:cs="黑体"/>
          <w:b w:val="0"/>
          <w:bCs/>
          <w:color w:val="auto"/>
          <w:sz w:val="24"/>
          <w:szCs w:val="24"/>
          <w:highlight w:val="none"/>
        </w:rPr>
      </w:pPr>
      <w:bookmarkStart w:id="24" w:name="_Toc27954"/>
      <w:bookmarkStart w:id="25" w:name="_Toc106030874"/>
      <w:bookmarkStart w:id="26" w:name="_Toc31202"/>
      <w:bookmarkStart w:id="27" w:name="_Toc76462320"/>
      <w:bookmarkStart w:id="28" w:name="_Toc13685"/>
      <w:r>
        <w:rPr>
          <w:rFonts w:hint="eastAsia" w:ascii="黑体" w:hAnsi="黑体" w:eastAsia="黑体" w:cs="黑体"/>
          <w:b w:val="0"/>
          <w:bCs/>
          <w:color w:val="auto"/>
          <w:sz w:val="24"/>
          <w:szCs w:val="24"/>
          <w:highlight w:val="none"/>
        </w:rPr>
        <w:t>三、</w:t>
      </w:r>
      <w:r>
        <w:rPr>
          <w:rFonts w:hint="eastAsia" w:ascii="黑体" w:hAnsi="黑体" w:eastAsia="黑体" w:cs="黑体"/>
          <w:b w:val="0"/>
          <w:bCs/>
          <w:color w:val="auto"/>
          <w:sz w:val="24"/>
          <w:szCs w:val="24"/>
          <w:highlight w:val="none"/>
          <w:lang w:val="en-US" w:eastAsia="zh-CN"/>
        </w:rPr>
        <w:t>遴选</w:t>
      </w:r>
      <w:r>
        <w:rPr>
          <w:rFonts w:hint="eastAsia" w:ascii="黑体" w:hAnsi="黑体" w:eastAsia="黑体" w:cs="黑体"/>
          <w:b w:val="0"/>
          <w:bCs/>
          <w:color w:val="auto"/>
          <w:sz w:val="24"/>
          <w:szCs w:val="24"/>
          <w:highlight w:val="none"/>
        </w:rPr>
        <w:t>有关说明</w:t>
      </w:r>
      <w:bookmarkEnd w:id="16"/>
      <w:bookmarkEnd w:id="24"/>
      <w:bookmarkEnd w:id="25"/>
      <w:bookmarkEnd w:id="26"/>
      <w:bookmarkEnd w:id="27"/>
      <w:bookmarkEnd w:id="28"/>
    </w:p>
    <w:p>
      <w:pPr>
        <w:pageBreakBefore w:val="0"/>
        <w:widowControl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（一）凡有意参加</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，请在</w:t>
      </w:r>
      <w:r>
        <w:rPr>
          <w:rFonts w:hint="eastAsia" w:ascii="宋体" w:hAnsi="宋体" w:eastAsia="宋体" w:cs="宋体"/>
          <w:color w:val="auto"/>
          <w:sz w:val="24"/>
          <w:szCs w:val="24"/>
          <w:highlight w:val="none"/>
          <w:lang w:eastAsia="zh-CN"/>
        </w:rPr>
        <w:t>重庆市黔江中心医院</w:t>
      </w:r>
      <w:r>
        <w:rPr>
          <w:rFonts w:hint="eastAsia" w:ascii="宋体" w:hAnsi="宋体" w:eastAsia="宋体" w:cs="宋体"/>
          <w:color w:val="auto"/>
          <w:sz w:val="24"/>
          <w:szCs w:val="24"/>
          <w:highlight w:val="none"/>
          <w:lang w:val="en-US" w:eastAsia="zh-CN"/>
        </w:rPr>
        <w:t>官网（https://www.qjzxyy.cn/）</w:t>
      </w:r>
      <w:r>
        <w:rPr>
          <w:rFonts w:hint="eastAsia" w:ascii="宋体" w:hAnsi="宋体" w:eastAsia="宋体" w:cs="宋体"/>
          <w:color w:val="auto"/>
          <w:sz w:val="24"/>
          <w:szCs w:val="24"/>
          <w:highlight w:val="none"/>
        </w:rPr>
        <w:t>下载本项目</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文件以及其他所有项目资料，无论</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下载与否，均视为已知晓所有</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实质性要求内容。</w:t>
      </w:r>
    </w:p>
    <w:p>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投标人须按本文件要求报名；当投标人的电子版响应文件与现场提交的纸质版响应文件出现内容上的出入时，以纸质版响应文件正本作为遴选依据。</w:t>
      </w:r>
    </w:p>
    <w:p>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公告期</w:t>
      </w:r>
      <w:r>
        <w:rPr>
          <w:rFonts w:hint="eastAsia" w:ascii="宋体" w:hAnsi="宋体" w:eastAsia="宋体" w:cs="宋体"/>
          <w:color w:val="auto"/>
          <w:sz w:val="24"/>
          <w:szCs w:val="24"/>
          <w:highlight w:val="none"/>
          <w:lang w:val="en-US" w:eastAsia="zh-CN"/>
        </w:rPr>
        <w:t>时间：至公告发布之日起5个工作日</w:t>
      </w:r>
    </w:p>
    <w:p>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（四）报名方式：现场提交响应文件并签到</w:t>
      </w:r>
    </w:p>
    <w:p>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报名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响应文件提交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开始时间：2026年</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val="en-US" w:eastAsia="zh-CN"/>
        </w:rPr>
        <w:t>点</w:t>
      </w:r>
    </w:p>
    <w:p>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报名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响应文件提交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截止期限：</w:t>
      </w:r>
      <w:r>
        <w:rPr>
          <w:rFonts w:hint="eastAsia" w:ascii="宋体" w:hAnsi="宋体" w:eastAsia="宋体" w:cs="宋体"/>
          <w:color w:val="auto"/>
          <w:sz w:val="24"/>
          <w:szCs w:val="24"/>
          <w:highlight w:val="none"/>
          <w:lang w:val="en-US" w:eastAsia="zh-CN"/>
        </w:rPr>
        <w:t>2026年</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日14点30分</w:t>
      </w:r>
    </w:p>
    <w:p>
      <w:pPr>
        <w:pageBreakBefore w:val="0"/>
        <w:widowControl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重庆市黔江中心医院科教楼</w:t>
      </w:r>
      <w:r>
        <w:rPr>
          <w:rFonts w:hint="eastAsia" w:ascii="宋体" w:hAnsi="宋体" w:cs="宋体"/>
          <w:color w:val="auto"/>
          <w:sz w:val="24"/>
          <w:szCs w:val="24"/>
          <w:highlight w:val="none"/>
          <w:lang w:val="en-US" w:eastAsia="zh-CN"/>
        </w:rPr>
        <w:t>A区</w:t>
      </w:r>
      <w:r>
        <w:rPr>
          <w:rFonts w:hint="eastAsia" w:ascii="宋体" w:hAnsi="宋体" w:eastAsia="宋体" w:cs="宋体"/>
          <w:color w:val="auto"/>
          <w:sz w:val="24"/>
          <w:szCs w:val="24"/>
          <w:highlight w:val="none"/>
          <w:lang w:val="en-US" w:eastAsia="zh-CN"/>
        </w:rPr>
        <w:t>二楼一会议室</w:t>
      </w:r>
    </w:p>
    <w:p>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八</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开始时间：</w:t>
      </w:r>
      <w:r>
        <w:rPr>
          <w:rFonts w:hint="eastAsia" w:ascii="宋体" w:hAnsi="宋体" w:eastAsia="宋体" w:cs="宋体"/>
          <w:color w:val="auto"/>
          <w:sz w:val="24"/>
          <w:szCs w:val="24"/>
          <w:highlight w:val="none"/>
          <w:lang w:val="en-US" w:eastAsia="zh-CN"/>
        </w:rPr>
        <w:t>2026年</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日14点30分</w:t>
      </w:r>
    </w:p>
    <w:p>
      <w:pPr>
        <w:pStyle w:val="3"/>
        <w:pageBreakBefore w:val="0"/>
        <w:widowControl w:val="0"/>
        <w:kinsoku/>
        <w:wordWrap/>
        <w:overflowPunct/>
        <w:topLinePunct w:val="0"/>
        <w:autoSpaceDE/>
        <w:autoSpaceDN/>
        <w:bidi w:val="0"/>
        <w:adjustRightInd w:val="0"/>
        <w:snapToGrid w:val="0"/>
        <w:spacing w:before="0" w:after="0" w:line="480" w:lineRule="exact"/>
        <w:ind w:firstLine="480" w:firstLineChars="200"/>
        <w:textAlignment w:val="auto"/>
        <w:rPr>
          <w:rFonts w:hint="eastAsia" w:ascii="黑体" w:hAnsi="黑体" w:eastAsia="黑体" w:cs="黑体"/>
          <w:b w:val="0"/>
          <w:bCs/>
          <w:color w:val="auto"/>
          <w:sz w:val="24"/>
          <w:szCs w:val="24"/>
          <w:highlight w:val="none"/>
        </w:rPr>
      </w:pPr>
      <w:bookmarkStart w:id="29" w:name="_Toc525047161"/>
      <w:bookmarkStart w:id="30" w:name="_Toc6178"/>
      <w:bookmarkStart w:id="31" w:name="_Toc12841"/>
      <w:bookmarkStart w:id="32" w:name="_Toc106034625"/>
      <w:bookmarkStart w:id="33" w:name="_Toc521053053"/>
      <w:bookmarkStart w:id="34" w:name="_Toc11956"/>
      <w:bookmarkStart w:id="35" w:name="_Toc24617"/>
      <w:bookmarkStart w:id="36" w:name="_Toc3764"/>
      <w:bookmarkStart w:id="37" w:name="_Toc65660334"/>
      <w:r>
        <w:rPr>
          <w:rFonts w:hint="eastAsia" w:ascii="黑体" w:hAnsi="黑体" w:eastAsia="黑体" w:cs="黑体"/>
          <w:b w:val="0"/>
          <w:bCs/>
          <w:color w:val="auto"/>
          <w:sz w:val="24"/>
          <w:szCs w:val="24"/>
          <w:highlight w:val="none"/>
        </w:rPr>
        <w:t>四、保证金</w:t>
      </w:r>
      <w:bookmarkEnd w:id="29"/>
      <w:bookmarkEnd w:id="30"/>
      <w:bookmarkEnd w:id="31"/>
      <w:bookmarkEnd w:id="32"/>
      <w:bookmarkEnd w:id="33"/>
      <w:bookmarkEnd w:id="34"/>
      <w:bookmarkEnd w:id="35"/>
      <w:bookmarkEnd w:id="36"/>
      <w:bookmarkEnd w:id="37"/>
    </w:p>
    <w:p>
      <w:pPr>
        <w:pageBreakBefore w:val="0"/>
        <w:widowControl w:val="0"/>
        <w:kinsoku/>
        <w:wordWrap/>
        <w:overflowPunct/>
        <w:topLinePunct w:val="0"/>
        <w:autoSpaceDE/>
        <w:autoSpaceDN/>
        <w:bidi w:val="0"/>
        <w:snapToGrid w:val="0"/>
        <w:spacing w:line="48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（一）保证金递交</w:t>
      </w:r>
    </w:p>
    <w:p>
      <w:pPr>
        <w:pStyle w:val="33"/>
        <w:pageBreakBefore w:val="0"/>
        <w:widowControl w:val="0"/>
        <w:kinsoku/>
        <w:wordWrap/>
        <w:overflowPunct/>
        <w:topLinePunct w:val="0"/>
        <w:autoSpaceDE/>
        <w:autoSpaceDN/>
        <w:bidi w:val="0"/>
        <w:spacing w:line="480" w:lineRule="exact"/>
        <w:ind w:left="0"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应足额交纳证金（</w:t>
      </w:r>
      <w:r>
        <w:rPr>
          <w:rFonts w:hint="eastAsia" w:ascii="宋体" w:hAnsi="宋体" w:cs="宋体"/>
          <w:color w:val="auto"/>
          <w:sz w:val="24"/>
          <w:szCs w:val="24"/>
          <w:highlight w:val="none"/>
          <w:lang w:val="en-US" w:eastAsia="zh-CN"/>
        </w:rPr>
        <w:t>2000.00元</w:t>
      </w:r>
      <w:r>
        <w:rPr>
          <w:rFonts w:hint="eastAsia" w:ascii="宋体" w:hAnsi="宋体" w:eastAsia="宋体" w:cs="宋体"/>
          <w:color w:val="auto"/>
          <w:sz w:val="24"/>
          <w:szCs w:val="24"/>
          <w:highlight w:val="none"/>
        </w:rPr>
        <w:t>），并通过银行转账的方式直接转入</w:t>
      </w:r>
      <w:r>
        <w:rPr>
          <w:rFonts w:hint="eastAsia" w:ascii="宋体" w:hAnsi="宋体" w:eastAsia="宋体" w:cs="宋体"/>
          <w:color w:val="auto"/>
          <w:sz w:val="24"/>
          <w:szCs w:val="24"/>
          <w:highlight w:val="none"/>
          <w:lang w:eastAsia="zh-CN"/>
        </w:rPr>
        <w:t>重庆市黔江中心医院</w:t>
      </w:r>
      <w:r>
        <w:rPr>
          <w:rFonts w:hint="eastAsia" w:ascii="宋体" w:hAnsi="宋体" w:eastAsia="宋体" w:cs="宋体"/>
          <w:color w:val="auto"/>
          <w:sz w:val="24"/>
          <w:szCs w:val="24"/>
          <w:highlight w:val="none"/>
        </w:rPr>
        <w:t>对公账户（</w:t>
      </w:r>
      <w:r>
        <w:rPr>
          <w:rFonts w:hint="eastAsia" w:ascii="宋体" w:hAnsi="宋体" w:cs="宋体"/>
          <w:color w:val="auto"/>
          <w:sz w:val="24"/>
          <w:szCs w:val="24"/>
          <w:highlight w:val="none"/>
          <w:lang w:val="en-US" w:eastAsia="zh-CN"/>
        </w:rPr>
        <w:t>账户名</w:t>
      </w:r>
      <w:r>
        <w:rPr>
          <w:rFonts w:hint="eastAsia" w:ascii="宋体" w:hAnsi="宋体" w:eastAsia="宋体" w:cs="宋体"/>
          <w:color w:val="auto"/>
          <w:sz w:val="24"/>
          <w:szCs w:val="24"/>
          <w:highlight w:val="none"/>
          <w:lang w:val="en-US" w:eastAsia="zh-CN"/>
        </w:rPr>
        <w:t>：重庆市黔江中心医院，开户行：</w:t>
      </w:r>
      <w:r>
        <w:rPr>
          <w:rFonts w:hint="eastAsia" w:ascii="宋体" w:hAnsi="宋体" w:eastAsia="宋体" w:cs="宋体"/>
          <w:color w:val="auto"/>
          <w:sz w:val="24"/>
          <w:szCs w:val="24"/>
          <w:highlight w:val="none"/>
          <w:lang w:eastAsia="zh-CN"/>
        </w:rPr>
        <w:t>重庆市农村商业银行黔江支行</w:t>
      </w:r>
      <w:r>
        <w:rPr>
          <w:rFonts w:hint="eastAsia" w:ascii="宋体" w:hAnsi="宋体" w:eastAsia="宋体" w:cs="宋体"/>
          <w:color w:val="auto"/>
          <w:sz w:val="24"/>
          <w:szCs w:val="24"/>
          <w:highlight w:val="none"/>
          <w:lang w:val="en-US" w:eastAsia="zh-CN"/>
        </w:rPr>
        <w:t>，账号：4101010120010003206</w:t>
      </w:r>
      <w:r>
        <w:rPr>
          <w:rFonts w:hint="eastAsia" w:ascii="宋体" w:hAnsi="宋体" w:eastAsia="宋体" w:cs="宋体"/>
          <w:color w:val="auto"/>
          <w:sz w:val="24"/>
          <w:szCs w:val="24"/>
          <w:highlight w:val="none"/>
        </w:rPr>
        <w:t>），并备注项目编号、项目名称（例：</w:t>
      </w:r>
      <w:r>
        <w:rPr>
          <w:rFonts w:hint="eastAsia" w:ascii="宋体" w:hAnsi="宋体" w:eastAsia="宋体" w:cs="宋体"/>
          <w:color w:val="auto"/>
          <w:sz w:val="24"/>
          <w:szCs w:val="24"/>
          <w:highlight w:val="none"/>
          <w:lang w:val="en-US" w:eastAsia="zh-CN"/>
        </w:rPr>
        <w:t>XXXX</w:t>
      </w:r>
      <w:r>
        <w:rPr>
          <w:rFonts w:hint="eastAsia" w:ascii="宋体" w:hAnsi="宋体" w:eastAsia="宋体" w:cs="宋体"/>
          <w:color w:val="auto"/>
          <w:sz w:val="24"/>
          <w:szCs w:val="24"/>
          <w:highlight w:val="none"/>
        </w:rPr>
        <w:t>项目投标保证金），交纳凭据须在</w:t>
      </w:r>
      <w:r>
        <w:rPr>
          <w:rFonts w:hint="eastAsia" w:ascii="宋体" w:hAnsi="宋体" w:eastAsia="宋体" w:cs="宋体"/>
          <w:color w:val="auto"/>
          <w:sz w:val="24"/>
          <w:szCs w:val="24"/>
          <w:highlight w:val="none"/>
          <w:lang w:eastAsia="zh-CN"/>
        </w:rPr>
        <w:t>重庆市黔江中心医院</w:t>
      </w:r>
      <w:r>
        <w:rPr>
          <w:rFonts w:hint="eastAsia" w:ascii="宋体" w:hAnsi="宋体" w:eastAsia="宋体" w:cs="宋体"/>
          <w:color w:val="auto"/>
          <w:sz w:val="24"/>
          <w:szCs w:val="24"/>
          <w:highlight w:val="none"/>
          <w:lang w:val="en-US" w:eastAsia="zh-CN"/>
        </w:rPr>
        <w:t>作为报名材料提交</w:t>
      </w:r>
      <w:r>
        <w:rPr>
          <w:rFonts w:hint="eastAsia" w:ascii="宋体" w:hAnsi="宋体" w:eastAsia="宋体" w:cs="宋体"/>
          <w:color w:val="auto"/>
          <w:sz w:val="24"/>
          <w:szCs w:val="24"/>
          <w:highlight w:val="none"/>
        </w:rPr>
        <w:t>。</w:t>
      </w:r>
    </w:p>
    <w:p>
      <w:pPr>
        <w:pStyle w:val="33"/>
        <w:pageBreakBefore w:val="0"/>
        <w:widowControl w:val="0"/>
        <w:kinsoku/>
        <w:wordWrap/>
        <w:overflowPunct/>
        <w:topLinePunct w:val="0"/>
        <w:autoSpaceDE/>
        <w:autoSpaceDN/>
        <w:bidi w:val="0"/>
        <w:spacing w:line="480" w:lineRule="exact"/>
        <w:ind w:left="0"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2.各</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在银行转账（电汇）时，须充分考虑银行转账（电汇）的时间差风险，如同城转账、异地转账或汇款、跨行转账或电汇的时间要求。</w:t>
      </w:r>
    </w:p>
    <w:p>
      <w:pPr>
        <w:pageBreakBefore w:val="0"/>
        <w:widowControl w:val="0"/>
        <w:kinsoku/>
        <w:wordWrap/>
        <w:overflowPunct/>
        <w:topLinePunct w:val="0"/>
        <w:autoSpaceDE/>
        <w:autoSpaceDN/>
        <w:bidi w:val="0"/>
        <w:snapToGrid w:val="0"/>
        <w:spacing w:line="480" w:lineRule="exact"/>
        <w:ind w:firstLine="360" w:firstLineChars="15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（二）保证金退还方式</w:t>
      </w:r>
    </w:p>
    <w:p>
      <w:pPr>
        <w:pageBreakBefore w:val="0"/>
        <w:widowControl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的保证金，在</w:t>
      </w:r>
      <w:r>
        <w:rPr>
          <w:rFonts w:hint="eastAsia" w:ascii="宋体" w:hAnsi="宋体" w:eastAsia="宋体" w:cs="宋体"/>
          <w:color w:val="auto"/>
          <w:sz w:val="24"/>
          <w:szCs w:val="24"/>
          <w:highlight w:val="none"/>
          <w:lang w:val="en-US" w:eastAsia="zh-CN"/>
        </w:rPr>
        <w:t>公示</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个日历日内</w:t>
      </w:r>
      <w:r>
        <w:rPr>
          <w:rFonts w:hint="eastAsia" w:ascii="宋体" w:hAnsi="宋体" w:eastAsia="宋体" w:cs="宋体"/>
          <w:color w:val="auto"/>
          <w:sz w:val="24"/>
          <w:szCs w:val="24"/>
          <w:highlight w:val="none"/>
          <w:lang w:val="en-US" w:eastAsia="zh-CN"/>
        </w:rPr>
        <w:t>无息</w:t>
      </w:r>
      <w:r>
        <w:rPr>
          <w:rFonts w:hint="eastAsia" w:ascii="宋体" w:hAnsi="宋体" w:eastAsia="宋体" w:cs="宋体"/>
          <w:color w:val="auto"/>
          <w:sz w:val="24"/>
          <w:szCs w:val="24"/>
          <w:highlight w:val="none"/>
        </w:rPr>
        <w:t>退还至项目报名时所填写</w:t>
      </w:r>
      <w:r>
        <w:rPr>
          <w:rFonts w:hint="eastAsia" w:ascii="宋体" w:hAnsi="宋体" w:eastAsia="宋体" w:cs="宋体"/>
          <w:color w:val="auto"/>
          <w:sz w:val="24"/>
          <w:szCs w:val="24"/>
          <w:highlight w:val="none"/>
          <w:lang w:val="en-US" w:eastAsia="zh-CN"/>
        </w:rPr>
        <w:t>指定的</w:t>
      </w:r>
      <w:r>
        <w:rPr>
          <w:rFonts w:hint="eastAsia" w:ascii="宋体" w:hAnsi="宋体" w:eastAsia="宋体" w:cs="宋体"/>
          <w:color w:val="auto"/>
          <w:sz w:val="24"/>
          <w:szCs w:val="24"/>
          <w:highlight w:val="none"/>
        </w:rPr>
        <w:t>投标单位对公账户。</w:t>
      </w:r>
    </w:p>
    <w:p>
      <w:pPr>
        <w:pageBreakBefore w:val="0"/>
        <w:widowControl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的保证金，将在与我院完成签订本项目合同并之后</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个日历日</w:t>
      </w:r>
      <w:r>
        <w:rPr>
          <w:rFonts w:hint="eastAsia" w:ascii="宋体" w:hAnsi="宋体" w:eastAsia="宋体" w:cs="宋体"/>
          <w:color w:val="auto"/>
          <w:sz w:val="24"/>
          <w:szCs w:val="24"/>
          <w:highlight w:val="none"/>
          <w:lang w:val="en-US" w:eastAsia="zh-CN"/>
        </w:rPr>
        <w:t>内</w:t>
      </w:r>
      <w:r>
        <w:rPr>
          <w:rFonts w:hint="eastAsia" w:ascii="宋体" w:hAnsi="宋体" w:eastAsia="宋体" w:cs="宋体"/>
          <w:color w:val="auto"/>
          <w:sz w:val="24"/>
          <w:szCs w:val="24"/>
          <w:highlight w:val="none"/>
        </w:rPr>
        <w:t>，无息退还至项目报名时所填写的投标单位对公账户。</w:t>
      </w:r>
    </w:p>
    <w:p>
      <w:pPr>
        <w:pStyle w:val="3"/>
        <w:pageBreakBefore w:val="0"/>
        <w:widowControl w:val="0"/>
        <w:kinsoku/>
        <w:wordWrap/>
        <w:overflowPunct/>
        <w:topLinePunct w:val="0"/>
        <w:autoSpaceDE/>
        <w:autoSpaceDN/>
        <w:bidi w:val="0"/>
        <w:adjustRightInd w:val="0"/>
        <w:snapToGrid w:val="0"/>
        <w:spacing w:before="0" w:after="0" w:line="480" w:lineRule="exact"/>
        <w:ind w:firstLine="480" w:firstLineChars="200"/>
        <w:textAlignment w:val="auto"/>
        <w:rPr>
          <w:rFonts w:hint="eastAsia" w:ascii="黑体" w:hAnsi="黑体" w:eastAsia="黑体" w:cs="黑体"/>
          <w:b w:val="0"/>
          <w:bCs/>
          <w:color w:val="auto"/>
          <w:sz w:val="24"/>
          <w:szCs w:val="24"/>
          <w:highlight w:val="none"/>
        </w:rPr>
      </w:pPr>
      <w:bookmarkStart w:id="38" w:name="_Toc525047162"/>
      <w:bookmarkStart w:id="39" w:name="_Toc65660335"/>
      <w:bookmarkStart w:id="40" w:name="_Toc521053054"/>
      <w:bookmarkStart w:id="41" w:name="_Toc2945"/>
      <w:bookmarkStart w:id="42" w:name="_Toc4355"/>
      <w:bookmarkStart w:id="43" w:name="_Toc106034626"/>
      <w:bookmarkStart w:id="44" w:name="_Toc1546"/>
      <w:bookmarkStart w:id="45" w:name="_Toc31710"/>
      <w:bookmarkStart w:id="46" w:name="_Toc26312"/>
      <w:r>
        <w:rPr>
          <w:rFonts w:hint="eastAsia" w:ascii="黑体" w:hAnsi="黑体" w:eastAsia="黑体" w:cs="黑体"/>
          <w:b w:val="0"/>
          <w:bCs/>
          <w:color w:val="auto"/>
          <w:sz w:val="24"/>
          <w:szCs w:val="24"/>
          <w:highlight w:val="none"/>
          <w:lang w:val="en-US" w:eastAsia="zh-CN"/>
        </w:rPr>
        <w:t>五</w:t>
      </w:r>
      <w:r>
        <w:rPr>
          <w:rFonts w:hint="eastAsia" w:ascii="黑体" w:hAnsi="黑体" w:eastAsia="黑体" w:cs="黑体"/>
          <w:b w:val="0"/>
          <w:bCs/>
          <w:color w:val="auto"/>
          <w:sz w:val="24"/>
          <w:szCs w:val="24"/>
          <w:highlight w:val="none"/>
        </w:rPr>
        <w:t>、</w:t>
      </w:r>
      <w:bookmarkEnd w:id="38"/>
      <w:bookmarkEnd w:id="39"/>
      <w:bookmarkEnd w:id="40"/>
      <w:bookmarkEnd w:id="41"/>
      <w:bookmarkEnd w:id="42"/>
      <w:bookmarkEnd w:id="43"/>
      <w:bookmarkStart w:id="47" w:name="_Toc65660336"/>
      <w:bookmarkStart w:id="48" w:name="_Toc6563"/>
      <w:bookmarkStart w:id="49" w:name="_Toc521053055"/>
      <w:bookmarkStart w:id="50" w:name="_Toc16269"/>
      <w:bookmarkStart w:id="51" w:name="_Toc106034627"/>
      <w:bookmarkStart w:id="52" w:name="_Toc525047163"/>
      <w:r>
        <w:rPr>
          <w:rFonts w:hint="eastAsia" w:ascii="黑体" w:hAnsi="黑体" w:eastAsia="黑体" w:cs="黑体"/>
          <w:b w:val="0"/>
          <w:bCs/>
          <w:color w:val="auto"/>
          <w:sz w:val="24"/>
          <w:szCs w:val="24"/>
          <w:highlight w:val="none"/>
        </w:rPr>
        <w:t>其它</w:t>
      </w:r>
      <w:bookmarkEnd w:id="44"/>
      <w:bookmarkEnd w:id="45"/>
      <w:bookmarkEnd w:id="46"/>
      <w:bookmarkEnd w:id="47"/>
      <w:bookmarkEnd w:id="48"/>
      <w:bookmarkEnd w:id="49"/>
      <w:bookmarkEnd w:id="50"/>
      <w:bookmarkEnd w:id="51"/>
      <w:bookmarkEnd w:id="52"/>
    </w:p>
    <w:p>
      <w:pPr>
        <w:pageBreakBefore w:val="0"/>
        <w:widowControl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重庆市黔江中心医院</w:t>
      </w:r>
      <w:r>
        <w:rPr>
          <w:rFonts w:hint="eastAsia" w:ascii="宋体" w:hAnsi="宋体" w:eastAsia="宋体" w:cs="宋体"/>
          <w:color w:val="auto"/>
          <w:sz w:val="24"/>
          <w:szCs w:val="24"/>
          <w:highlight w:val="none"/>
        </w:rPr>
        <w:t>所作出的一切书面通知、修改、补充说明、答疑等内容，都是</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文件不可分割的组成部分。</w:t>
      </w:r>
    </w:p>
    <w:p>
      <w:pPr>
        <w:pageBreakBefore w:val="0"/>
        <w:widowControl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（二）投标人如对本</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文件有任何实质性疑问，应当以书面形式向招标方提出质疑，并须将该质疑文件纸质版（须加盖提出质疑单位的公章确认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不接受复印件、扫描件</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2026年</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日17点30分前</w:t>
      </w:r>
      <w:r>
        <w:rPr>
          <w:rFonts w:hint="eastAsia" w:ascii="宋体" w:hAnsi="宋体" w:eastAsia="宋体" w:cs="宋体"/>
          <w:color w:val="auto"/>
          <w:sz w:val="24"/>
          <w:szCs w:val="24"/>
          <w:highlight w:val="none"/>
        </w:rPr>
        <w:t>送达</w:t>
      </w:r>
      <w:r>
        <w:rPr>
          <w:rFonts w:hint="eastAsia" w:ascii="宋体" w:hAnsi="宋体" w:eastAsia="宋体" w:cs="宋体"/>
          <w:color w:val="auto"/>
          <w:sz w:val="24"/>
          <w:szCs w:val="24"/>
          <w:highlight w:val="none"/>
          <w:lang w:eastAsia="zh-CN"/>
        </w:rPr>
        <w:t>重庆市黔江中心医院</w:t>
      </w:r>
      <w:r>
        <w:rPr>
          <w:rFonts w:hint="eastAsia" w:ascii="宋体" w:hAnsi="宋体" w:eastAsia="宋体" w:cs="宋体"/>
          <w:color w:val="auto"/>
          <w:sz w:val="24"/>
          <w:szCs w:val="24"/>
          <w:highlight w:val="none"/>
        </w:rPr>
        <w:t>，否则即视为完全放弃对本</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文件的质疑权利。如招标人认为上述质疑有回复必要，将以书面形式将回复内容通知所有投标方。</w:t>
      </w:r>
    </w:p>
    <w:p>
      <w:pPr>
        <w:pageBreakBefore w:val="0"/>
        <w:widowControl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（三）投标人应仔细阅读和检查</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文件的全部内容。如发现缺页或附件不全，应及时提出，以便补齐。如有疑问，请在投标截止日前向招标单位提出，超过此时间规定，招标单位不再受理对于</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文件的疑问。</w:t>
      </w:r>
    </w:p>
    <w:p>
      <w:pPr>
        <w:pStyle w:val="3"/>
        <w:pageBreakBefore w:val="0"/>
        <w:widowControl w:val="0"/>
        <w:kinsoku/>
        <w:wordWrap/>
        <w:overflowPunct/>
        <w:topLinePunct w:val="0"/>
        <w:autoSpaceDE/>
        <w:autoSpaceDN/>
        <w:bidi w:val="0"/>
        <w:adjustRightInd w:val="0"/>
        <w:snapToGrid w:val="0"/>
        <w:spacing w:before="0" w:after="0" w:line="480" w:lineRule="exact"/>
        <w:ind w:firstLine="480" w:firstLineChars="200"/>
        <w:textAlignment w:val="auto"/>
        <w:rPr>
          <w:rFonts w:hint="eastAsia" w:ascii="黑体" w:hAnsi="黑体" w:eastAsia="黑体" w:cs="黑体"/>
          <w:b w:val="0"/>
          <w:bCs/>
          <w:color w:val="auto"/>
          <w:sz w:val="24"/>
          <w:szCs w:val="24"/>
          <w:highlight w:val="none"/>
          <w:lang w:val="en-US" w:eastAsia="zh-CN"/>
        </w:rPr>
      </w:pPr>
      <w:bookmarkStart w:id="53" w:name="_Toc10415"/>
      <w:bookmarkStart w:id="54" w:name="_Toc521053056"/>
      <w:bookmarkStart w:id="55" w:name="_Toc525047164"/>
      <w:bookmarkStart w:id="56" w:name="_Toc22793"/>
      <w:bookmarkStart w:id="57" w:name="_Toc65660337"/>
      <w:bookmarkStart w:id="58" w:name="_Toc1733"/>
      <w:bookmarkStart w:id="59" w:name="_Toc3154"/>
      <w:bookmarkStart w:id="60" w:name="_Toc106034628"/>
      <w:bookmarkStart w:id="61" w:name="_Toc24901"/>
      <w:r>
        <w:rPr>
          <w:rFonts w:hint="eastAsia" w:ascii="黑体" w:hAnsi="黑体" w:eastAsia="黑体" w:cs="黑体"/>
          <w:b w:val="0"/>
          <w:bCs/>
          <w:color w:val="auto"/>
          <w:sz w:val="24"/>
          <w:szCs w:val="24"/>
          <w:highlight w:val="none"/>
          <w:lang w:val="en-US" w:eastAsia="zh-CN"/>
        </w:rPr>
        <w:t>六、联系方式</w:t>
      </w:r>
      <w:bookmarkEnd w:id="53"/>
      <w:bookmarkEnd w:id="54"/>
      <w:bookmarkEnd w:id="55"/>
      <w:bookmarkEnd w:id="56"/>
      <w:bookmarkEnd w:id="57"/>
      <w:bookmarkEnd w:id="58"/>
      <w:bookmarkEnd w:id="59"/>
      <w:bookmarkEnd w:id="60"/>
      <w:bookmarkEnd w:id="61"/>
    </w:p>
    <w:p>
      <w:pPr>
        <w:pageBreakBefore w:val="0"/>
        <w:widowControl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 xml:space="preserve">车老师 </w:t>
      </w:r>
    </w:p>
    <w:p>
      <w:pPr>
        <w:pageBreakBefore w:val="0"/>
        <w:widowControl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话：023-</w:t>
      </w:r>
      <w:r>
        <w:rPr>
          <w:rFonts w:hint="eastAsia" w:ascii="宋体" w:hAnsi="宋体" w:eastAsia="宋体" w:cs="宋体"/>
          <w:color w:val="auto"/>
          <w:sz w:val="24"/>
          <w:szCs w:val="24"/>
          <w:highlight w:val="none"/>
          <w:lang w:val="en-US" w:eastAsia="zh-CN"/>
        </w:rPr>
        <w:t>79238111</w:t>
      </w:r>
    </w:p>
    <w:p>
      <w:pPr>
        <w:pageBreakBefore w:val="0"/>
        <w:widowControl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b/>
          <w:color w:val="auto"/>
          <w:sz w:val="24"/>
          <w:szCs w:val="24"/>
          <w:highlight w:val="none"/>
        </w:rPr>
        <w:sectPr>
          <w:pgSz w:w="11907" w:h="16840"/>
          <w:pgMar w:top="1134" w:right="1304" w:bottom="1134" w:left="1304" w:header="964" w:footer="992" w:gutter="0"/>
          <w:pgBorders>
            <w:top w:val="none" w:sz="0" w:space="0"/>
            <w:left w:val="none" w:sz="0" w:space="0"/>
            <w:bottom w:val="none" w:sz="0" w:space="0"/>
            <w:right w:val="none" w:sz="0" w:space="0"/>
          </w:pgBorders>
          <w:pgNumType w:fmt="numberInDash"/>
          <w:cols w:space="720" w:num="1"/>
          <w:docGrid w:linePitch="312" w:charSpace="0"/>
        </w:sect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en-US" w:eastAsia="zh-CN"/>
        </w:rPr>
        <w:t>重庆市黔江区正阳街道</w:t>
      </w:r>
      <w:r>
        <w:rPr>
          <w:rFonts w:hint="eastAsia" w:ascii="宋体" w:hAnsi="宋体" w:cs="宋体"/>
          <w:color w:val="auto"/>
          <w:sz w:val="24"/>
          <w:szCs w:val="24"/>
          <w:highlight w:val="none"/>
          <w:lang w:val="en-US" w:eastAsia="zh-CN"/>
        </w:rPr>
        <w:t>重庆市黔江</w:t>
      </w:r>
      <w:r>
        <w:rPr>
          <w:rFonts w:hint="eastAsia" w:ascii="宋体" w:hAnsi="宋体" w:eastAsia="宋体" w:cs="宋体"/>
          <w:color w:val="auto"/>
          <w:sz w:val="24"/>
          <w:szCs w:val="24"/>
          <w:highlight w:val="none"/>
          <w:lang w:val="en-US" w:eastAsia="zh-CN"/>
        </w:rPr>
        <w:t>中心医院科教楼医学装备科403</w:t>
      </w:r>
      <w:bookmarkEnd w:id="17"/>
    </w:p>
    <w:p>
      <w:pPr>
        <w:pStyle w:val="2"/>
        <w:pageBreakBefore w:val="0"/>
        <w:tabs>
          <w:tab w:val="left" w:pos="3360"/>
        </w:tabs>
        <w:kinsoku/>
        <w:wordWrap/>
        <w:overflowPunct/>
        <w:topLinePunct w:val="0"/>
        <w:autoSpaceDE/>
        <w:autoSpaceDN/>
        <w:bidi w:val="0"/>
        <w:spacing w:before="0" w:beforeLines="0" w:after="0" w:afterLines="0" w:line="500" w:lineRule="exact"/>
        <w:jc w:val="center"/>
        <w:rPr>
          <w:rFonts w:hint="eastAsia" w:ascii="黑体" w:hAnsi="黑体" w:eastAsia="黑体" w:cs="黑体"/>
          <w:b w:val="0"/>
          <w:bCs/>
          <w:color w:val="auto"/>
          <w:sz w:val="24"/>
          <w:szCs w:val="24"/>
          <w:highlight w:val="none"/>
          <w:lang w:val="en-US" w:eastAsia="zh-CN"/>
        </w:rPr>
      </w:pPr>
      <w:bookmarkStart w:id="62" w:name="_Toc5461"/>
      <w:bookmarkStart w:id="63" w:name="_Toc75793504"/>
      <w:bookmarkStart w:id="64" w:name="_Toc19886"/>
      <w:bookmarkStart w:id="65" w:name="_Toc25639"/>
      <w:bookmarkStart w:id="66" w:name="_Toc11017"/>
      <w:bookmarkStart w:id="67" w:name="_Toc2422"/>
      <w:bookmarkStart w:id="68" w:name="_Toc2070"/>
      <w:bookmarkStart w:id="69" w:name="_Toc32686"/>
      <w:bookmarkStart w:id="70" w:name="_Toc12959"/>
      <w:bookmarkStart w:id="71" w:name="_Toc26176"/>
      <w:bookmarkStart w:id="72" w:name="_Toc1625"/>
      <w:bookmarkStart w:id="73" w:name="_Toc23143"/>
      <w:bookmarkStart w:id="74" w:name="_Toc725"/>
      <w:bookmarkStart w:id="75" w:name="_Toc8649"/>
      <w:bookmarkStart w:id="76" w:name="_Toc1492"/>
      <w:bookmarkStart w:id="77" w:name="_Toc106030380"/>
      <w:bookmarkStart w:id="78" w:name="_Toc24827"/>
      <w:bookmarkStart w:id="79" w:name="_Toc12789058"/>
      <w:r>
        <w:rPr>
          <w:rFonts w:hint="eastAsia" w:ascii="方正小标宋_GBK" w:hAnsi="方正小标宋_GBK" w:eastAsia="方正小标宋_GBK" w:cs="方正小标宋_GBK"/>
          <w:b w:val="0"/>
          <w:bCs/>
          <w:color w:val="auto"/>
          <w:kern w:val="2"/>
          <w:sz w:val="44"/>
          <w:szCs w:val="44"/>
          <w:highlight w:val="none"/>
          <w:lang w:val="en-US" w:eastAsia="zh-CN" w:bidi="ar-SA"/>
        </w:rPr>
        <w:t xml:space="preserve">第二篇 </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Pr>
          <w:rFonts w:hint="eastAsia" w:ascii="方正小标宋_GBK" w:hAnsi="方正小标宋_GBK" w:eastAsia="方正小标宋_GBK" w:cs="方正小标宋_GBK"/>
          <w:b w:val="0"/>
          <w:bCs/>
          <w:color w:val="auto"/>
          <w:kern w:val="2"/>
          <w:sz w:val="44"/>
          <w:szCs w:val="44"/>
          <w:highlight w:val="none"/>
          <w:lang w:val="en-US" w:eastAsia="zh-CN" w:bidi="ar-SA"/>
        </w:rPr>
        <w:t>项目技术（质量）需求</w:t>
      </w:r>
      <w:bookmarkEnd w:id="77"/>
      <w:bookmarkEnd w:id="78"/>
      <w:bookmarkStart w:id="80" w:name="_Toc9261"/>
      <w:bookmarkStart w:id="81" w:name="_Toc8370"/>
      <w:bookmarkStart w:id="82" w:name="_Toc20979"/>
      <w:bookmarkStart w:id="83" w:name="_Toc4531"/>
      <w:bookmarkStart w:id="84" w:name="_Toc23656"/>
      <w:bookmarkStart w:id="85" w:name="_Toc23504"/>
      <w:bookmarkStart w:id="86" w:name="_Toc4519"/>
      <w:bookmarkStart w:id="87" w:name="_Toc75793505"/>
      <w:bookmarkStart w:id="88" w:name="_Toc29985"/>
      <w:bookmarkStart w:id="89" w:name="_Toc22910"/>
      <w:bookmarkStart w:id="90" w:name="_Toc4913"/>
      <w:bookmarkStart w:id="91" w:name="_Toc106030381"/>
      <w:bookmarkStart w:id="92" w:name="_Toc19238"/>
      <w:bookmarkStart w:id="93" w:name="_Toc7027"/>
      <w:bookmarkStart w:id="94" w:name="_Toc11703"/>
    </w:p>
    <w:p>
      <w:pPr>
        <w:pStyle w:val="3"/>
        <w:pageBreakBefore w:val="0"/>
        <w:kinsoku/>
        <w:wordWrap/>
        <w:overflowPunct/>
        <w:topLinePunct w:val="0"/>
        <w:autoSpaceDE/>
        <w:autoSpaceDN/>
        <w:bidi w:val="0"/>
        <w:adjustRightInd w:val="0"/>
        <w:snapToGrid w:val="0"/>
        <w:spacing w:before="0" w:after="0" w:line="500" w:lineRule="exact"/>
        <w:ind w:firstLine="480" w:firstLineChars="200"/>
        <w:rPr>
          <w:rFonts w:hint="eastAsia" w:ascii="黑体" w:hAnsi="黑体" w:eastAsia="黑体" w:cs="黑体"/>
          <w:b w:val="0"/>
          <w:bCs/>
          <w:color w:val="auto"/>
          <w:sz w:val="24"/>
          <w:szCs w:val="24"/>
          <w:highlight w:val="none"/>
          <w:lang w:val="en-US" w:eastAsia="zh-CN"/>
        </w:rPr>
      </w:pPr>
      <w:bookmarkStart w:id="95" w:name="_Toc626"/>
      <w:r>
        <w:rPr>
          <w:rFonts w:hint="eastAsia" w:ascii="黑体" w:hAnsi="黑体" w:eastAsia="黑体" w:cs="黑体"/>
          <w:b w:val="0"/>
          <w:bCs/>
          <w:color w:val="auto"/>
          <w:sz w:val="24"/>
          <w:szCs w:val="24"/>
          <w:highlight w:val="none"/>
          <w:lang w:val="en-US" w:eastAsia="zh-CN"/>
        </w:rPr>
        <w:t>一、项目一览表</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tbl>
      <w:tblPr>
        <w:tblStyle w:val="57"/>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3"/>
        <w:gridCol w:w="2586"/>
        <w:gridCol w:w="3450"/>
        <w:gridCol w:w="2847"/>
        <w:gridCol w:w="1034"/>
        <w:gridCol w:w="1790"/>
        <w:gridCol w:w="17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auto"/>
                <w:sz w:val="22"/>
                <w:szCs w:val="22"/>
                <w:highlight w:val="none"/>
                <w:u w:val="none"/>
              </w:rPr>
            </w:pPr>
            <w:r>
              <w:rPr>
                <w:rFonts w:hint="eastAsia" w:ascii="黑体" w:hAnsi="黑体" w:eastAsia="黑体" w:cs="黑体"/>
                <w:i w:val="0"/>
                <w:iCs w:val="0"/>
                <w:color w:val="auto"/>
                <w:kern w:val="0"/>
                <w:sz w:val="22"/>
                <w:szCs w:val="22"/>
                <w:highlight w:val="none"/>
                <w:u w:val="none"/>
                <w:lang w:val="en-US" w:eastAsia="zh-CN" w:bidi="ar"/>
              </w:rPr>
              <w:t>序号</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auto"/>
                <w:sz w:val="22"/>
                <w:szCs w:val="22"/>
                <w:highlight w:val="none"/>
                <w:u w:val="none"/>
              </w:rPr>
            </w:pPr>
            <w:r>
              <w:rPr>
                <w:rFonts w:hint="eastAsia" w:ascii="黑体" w:hAnsi="黑体" w:eastAsia="黑体" w:cs="黑体"/>
                <w:i w:val="0"/>
                <w:iCs w:val="0"/>
                <w:color w:val="auto"/>
                <w:kern w:val="0"/>
                <w:sz w:val="22"/>
                <w:szCs w:val="22"/>
                <w:highlight w:val="none"/>
                <w:u w:val="none"/>
                <w:lang w:val="en-US" w:eastAsia="zh-CN" w:bidi="ar"/>
              </w:rPr>
              <w:t>分类</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auto"/>
                <w:sz w:val="22"/>
                <w:szCs w:val="22"/>
                <w:highlight w:val="none"/>
                <w:u w:val="none"/>
              </w:rPr>
            </w:pPr>
            <w:r>
              <w:rPr>
                <w:rFonts w:hint="eastAsia" w:ascii="黑体" w:hAnsi="黑体" w:eastAsia="黑体" w:cs="黑体"/>
                <w:i w:val="0"/>
                <w:iCs w:val="0"/>
                <w:color w:val="auto"/>
                <w:kern w:val="0"/>
                <w:sz w:val="22"/>
                <w:szCs w:val="22"/>
                <w:highlight w:val="none"/>
                <w:u w:val="none"/>
                <w:lang w:val="en-US" w:eastAsia="zh-CN" w:bidi="ar"/>
              </w:rPr>
              <w:t>产品名称</w:t>
            </w:r>
          </w:p>
        </w:tc>
        <w:tc>
          <w:tcPr>
            <w:tcW w:w="28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auto"/>
                <w:sz w:val="22"/>
                <w:szCs w:val="22"/>
                <w:highlight w:val="none"/>
                <w:u w:val="none"/>
              </w:rPr>
            </w:pPr>
            <w:r>
              <w:rPr>
                <w:rFonts w:hint="eastAsia" w:ascii="黑体" w:hAnsi="黑体" w:eastAsia="黑体" w:cs="黑体"/>
                <w:i w:val="0"/>
                <w:iCs w:val="0"/>
                <w:color w:val="auto"/>
                <w:kern w:val="0"/>
                <w:sz w:val="22"/>
                <w:szCs w:val="22"/>
                <w:highlight w:val="none"/>
                <w:u w:val="none"/>
                <w:lang w:val="en-US" w:eastAsia="zh-CN" w:bidi="ar"/>
              </w:rPr>
              <w:t>参数要求</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auto"/>
                <w:sz w:val="22"/>
                <w:szCs w:val="22"/>
                <w:highlight w:val="none"/>
                <w:u w:val="none"/>
              </w:rPr>
            </w:pPr>
            <w:r>
              <w:rPr>
                <w:rFonts w:hint="eastAsia" w:ascii="黑体" w:hAnsi="黑体" w:eastAsia="黑体" w:cs="黑体"/>
                <w:i w:val="0"/>
                <w:iCs w:val="0"/>
                <w:color w:val="auto"/>
                <w:kern w:val="0"/>
                <w:sz w:val="22"/>
                <w:szCs w:val="22"/>
                <w:highlight w:val="none"/>
                <w:u w:val="none"/>
                <w:lang w:val="en-US" w:eastAsia="zh-CN" w:bidi="ar"/>
              </w:rPr>
              <w:t>单位</w:t>
            </w:r>
          </w:p>
        </w:tc>
        <w:tc>
          <w:tcPr>
            <w:tcW w:w="179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黑体" w:hAnsi="黑体" w:eastAsia="黑体" w:cs="黑体"/>
                <w:i w:val="0"/>
                <w:iCs w:val="0"/>
                <w:color w:val="auto"/>
                <w:sz w:val="22"/>
                <w:szCs w:val="22"/>
                <w:highlight w:val="none"/>
                <w:u w:val="none"/>
              </w:rPr>
            </w:pPr>
            <w:r>
              <w:rPr>
                <w:rFonts w:hint="eastAsia" w:ascii="黑体" w:hAnsi="黑体" w:eastAsia="黑体" w:cs="黑体"/>
                <w:i w:val="0"/>
                <w:iCs w:val="0"/>
                <w:color w:val="auto"/>
                <w:kern w:val="0"/>
                <w:sz w:val="22"/>
                <w:szCs w:val="22"/>
                <w:highlight w:val="none"/>
                <w:u w:val="none"/>
                <w:lang w:val="en-US" w:eastAsia="zh-CN" w:bidi="ar"/>
              </w:rPr>
              <w:t>招标最高限价</w:t>
            </w:r>
          </w:p>
        </w:tc>
        <w:tc>
          <w:tcPr>
            <w:tcW w:w="179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spacing w:before="0" w:beforeAutospacing="0" w:after="0" w:afterAutospacing="0"/>
              <w:ind w:left="0" w:right="0"/>
              <w:jc w:val="center"/>
              <w:textAlignment w:val="top"/>
              <w:rPr>
                <w:rFonts w:hint="default"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玻璃陶瓷贴面(义获嘉蓝瓷)</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切削瓷贴面</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720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铸瓷贴面（义获嘉E.max）</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铸造瓷贴面</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486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铸瓷贴面(登士柏)</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铸造瓷贴面</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486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e.max CAD蓝瓷美学冠</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切削全瓷冠/桥</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720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e.max Press铸瓷美学冠</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铸造烧结瓷冠/桥</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486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Lava(拉瓦)氧化锆全瓷冠</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切削全瓷冠/桥</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787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泽康氧化锆全瓷牙</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切削全瓷冠/桥</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650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西诺德氧化锆全瓷牙</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切削全瓷冠/桥</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600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威兰德氧化锆全瓷牙</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切削全瓷冠/桥</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480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迪瑞全瓷牙</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切削全瓷冠/桥</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400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爱迪特氧化锆全瓷牙</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切削全瓷冠/桥</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258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切削纯钛冠</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切削钛金属冠/桥</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313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切削纯钛烤瓷牙</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切削钛金属冠/桥</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378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激光打印钴铬烤瓷牙</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非贵金属合金冠/桥</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97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激光打印钴铬冠</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非贵金属合金冠/桥</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86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义获嘉E.max铸瓷嵌体</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铸造全瓷嵌体</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389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西诺德全瓷桩核</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切削全瓷桩核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464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威兰德氧化锆桩核</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切削全瓷桩核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432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迪瑞全瓷桩核</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切削全瓷桩核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356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爱迪特全瓷桩核</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切削全瓷桩核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232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激光打印钛桩核</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非贵金属合金桩核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300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激光打印钴铬桩核</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非贵金属合金桩核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62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种植体上部Lava(拉瓦)全瓷冠</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切削全瓷种植体上部冠/桥</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787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种植体上部西诺德全瓷冠</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切削全瓷种植体上部冠/桥</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574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种植体上部威兰德全瓷冠</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切削全瓷种植体上部冠/桥</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528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tabs>
                <w:tab w:val="left" w:pos="510"/>
              </w:tabs>
              <w:spacing w:before="0" w:beforeAutospacing="0" w:after="0" w:afterAutospacing="0"/>
              <w:ind w:left="0" w:right="0"/>
              <w:jc w:val="left"/>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ab/>
            </w: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种植体上部迪瑞全瓷冠</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切削全瓷种植体上部冠/桥</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497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种植体上部爱迪特全瓷冠</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切削全瓷种植体上部冠/桥</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258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种植体上部钴铬合金烤瓷牙</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非贵金属合金植体上部冠/桥</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216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个性化纯钛上部结构</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切削钛金属种植体上部冠/桥</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420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个性化纯钛上部结构一体冠</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切削钛金属种植体上部冠/桥</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576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个性化纯钛上部结构烤塑一体冠</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切削钛金属种植体上部冠/桥</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660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诊断蜡型</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铸造瓷贴面</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37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定制式牙科种植用导板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半程导板</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牙科种植导板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240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纯钛大支架(切削)</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切削可摘义齿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790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纯钛小支架(切削)</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切削可摘义齿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672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纯钛大支架</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铸造可摘义齿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560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纯钛小支架</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铸造可摘义齿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480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3D打印高钛大支架</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激光打印可摘义齿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421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3D打印高钛小支架</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激光打印可摘义齿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378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维他灵大支架</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铸造可摘义齿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660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维他灵小支架</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激光打印可摘义齿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512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激光打印钴铬大支架</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激光打印可摘义齿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144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激光打印钴铬小支架</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激光打印可摘义齿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120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功能性吸附性义齿(全口)</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树脂基托可摘义齿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副</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5800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功能性吸附性义齿(半口)</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树脂基托可摘义齿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4200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登士柏199不碎胶</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树脂基托可摘义齿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378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both"/>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胶托</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树脂基托可摘义齿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79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个别托盘</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树脂基托可摘义齿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60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胶托修复</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树脂基托可摘义齿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60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软衬</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树脂基托可摘义齿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432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塑钢牙(松风)</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树脂基托可摘义齿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48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树脂牙(VITA 3D)</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树脂基托可摘义齿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43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塑钢牙(沪鸽)</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树脂基托可摘义齿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32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沪鸽树脂牙排牙</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树脂基托可摘义齿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树脂牙(山八)</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树脂基托可摘义齿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隐形义齿(首牙)</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弹性基托可摘义齿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86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隐形义齿（二牙）</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弹性基托可摘义齿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隐形卡环</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弹性基托可摘义齿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65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铸造卡环</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铸造可摘义齿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弯制卡环</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铸造可摘义齿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纯钛金属颌面</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切削可摘义齿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72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激光钛金属颌面</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激光打印可摘义齿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54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钴铬金属颌面</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激光打印可摘义齿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定制式保持器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里软外硬夜磨牙套</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适用于牙颌畸形矫治完成后的疗效</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360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定制式保持器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改良Hawley保持器(包围比格)</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适用于牙颌畸形矫治完成后的疗效</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216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定制式保持器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标准Hawley保持器</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适用于牙颌畸形矫治完成后的疗效</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173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定制式保持器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压膜(透明)保持器</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适用于牙颌畸形矫治完成后的疗效</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113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定制式保持器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普通夜磨牙套</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适用于牙颌畸形矫治完成后的疗效</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107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定制式固定保持器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丝圈式间隙保持器</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适用于牙颌畸形矫治完成后的疗效</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150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定制式固定保持器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舌侧固定保持器</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适用于牙颌畸形矫治完成后的疗效</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204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定制式固定保持器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舌侧丝固定保持器</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适用于牙颌畸形矫治完成后的疗效</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150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定制式固定保持器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冠丝圈式缺隙保持器</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适用于牙颌畸形矫治完成后的疗效</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226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定制式固定保持器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横腭杆(TPA)</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适用于牙颌畸形矫治完成后的疗效</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150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定制式固定保持器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南斯(Nance)弓(腭托)</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适用于牙颌畸形矫治完成后的疗效</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181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定制式活动矫治器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富兰克II(FR-II)</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适用于口腔正畸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副</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768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定制式活动矫治器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富兰克Ⅲ(FR-Ⅲ)</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适用于口腔正畸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副</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768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定制式活动矫治器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三向螺旋扩弓器</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适用于口腔正畸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840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定制式活动矫治器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可摘双颗螺旋扩弓器</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适用于口腔正畸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480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定制式活动矫治器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可摘单颗螺旋扩弓器</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适用于口腔正畸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450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定制式活动矫治器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肌激动器</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适用于口腔正畸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367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定制式活动矫治器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双颌垫矫治器Twin Block</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适用于口腔正畸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377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定制式活动矫治器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前庭盾</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适用于口腔正畸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259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定制式活动矫治器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舌不良习惯破除器</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适用于口腔正畸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227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定制式活动矫治器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前方牵引器</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适用于口腔正畸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241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定制式活动矫治器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舌簧颌垫矫治器</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适用于口腔正畸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200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定制式活动矫治器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硬颌垫</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适用于口腔正畸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188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定制式活动矫治器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平面导板</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适用于口腔正畸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100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定制式活动矫治器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斜面导板</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适用于口腔正畸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100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定制式活动矫治器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非凡可摘式单颗螺旋扩弓器</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适用于口腔正畸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787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定制式活动矫治器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扇形扩弓矫治器</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适用于口腔正畸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702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定制式活动矫治器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前牙“V”字型扩弓器</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适用于口腔正畸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456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定制式活动矫治器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常规扩弓螺丝(非凡)</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适用于口腔正畸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120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定制式活动矫治器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单向扩弓螺丝(德国进口)</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适用于口腔正畸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120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定制式活动矫治器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矫治器修改</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适用于口腔正畸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78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定制式固定矫治器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南斯弓+横腭杆(联合制作)</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适用于口腔正畸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227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定制式固定矫治器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非凡固定式螺旋扩弓器</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适用于口腔正畸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900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定制式固定矫治器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固定式上颌扩弓螺丝(非凡)</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适用于口腔正畸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480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定制式固定矫治器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固定式螺旋扩弓器</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适用于口腔正畸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432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定制式固定矫治器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固定式扩弓螺丝(国产)</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适用于口腔正畸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144 </w:t>
            </w:r>
          </w:p>
        </w:tc>
        <w:tc>
          <w:tcPr>
            <w:tcW w:w="17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bl>
    <w:p>
      <w:pPr>
        <w:pStyle w:val="3"/>
        <w:pageBreakBefore w:val="0"/>
        <w:widowControl w:val="0"/>
        <w:kinsoku/>
        <w:wordWrap/>
        <w:overflowPunct/>
        <w:topLinePunct w:val="0"/>
        <w:autoSpaceDE/>
        <w:autoSpaceDN/>
        <w:bidi w:val="0"/>
        <w:adjustRightInd/>
        <w:snapToGrid/>
        <w:spacing w:before="0" w:beforeLines="0" w:after="0" w:afterLines="0" w:line="500" w:lineRule="exact"/>
        <w:ind w:firstLine="480" w:firstLineChars="200"/>
        <w:textAlignment w:val="auto"/>
        <w:rPr>
          <w:rFonts w:hint="eastAsia" w:ascii="宋体" w:hAnsi="宋体" w:eastAsia="宋体" w:cs="宋体"/>
          <w:b w:val="0"/>
          <w:bCs/>
          <w:color w:val="auto"/>
          <w:sz w:val="24"/>
          <w:szCs w:val="24"/>
          <w:highlight w:val="none"/>
          <w:lang w:val="en-US" w:eastAsia="zh-CN"/>
        </w:rPr>
      </w:pPr>
      <w:bookmarkStart w:id="96" w:name="_Toc12760"/>
      <w:bookmarkStart w:id="97" w:name="_Toc75793506"/>
      <w:bookmarkStart w:id="98" w:name="_Toc695"/>
      <w:bookmarkStart w:id="99" w:name="_Toc10143"/>
      <w:bookmarkStart w:id="100" w:name="_Toc28205"/>
      <w:bookmarkStart w:id="101" w:name="_Toc12568"/>
      <w:bookmarkStart w:id="102" w:name="_Toc32262"/>
      <w:bookmarkStart w:id="103" w:name="_Toc21817"/>
      <w:bookmarkStart w:id="104" w:name="_Toc18903"/>
      <w:bookmarkStart w:id="105" w:name="_Toc27067"/>
      <w:bookmarkStart w:id="106" w:name="_Toc5751"/>
      <w:bookmarkStart w:id="107" w:name="_Toc26453"/>
      <w:bookmarkStart w:id="108" w:name="_Toc7792"/>
      <w:bookmarkStart w:id="109" w:name="_Toc106030382"/>
      <w:bookmarkStart w:id="110" w:name="_Toc15696"/>
      <w:bookmarkStart w:id="111" w:name="_Toc18800"/>
      <w:bookmarkStart w:id="112" w:name="_Toc23975"/>
      <w:r>
        <w:rPr>
          <w:rFonts w:hint="eastAsia" w:ascii="宋体" w:hAnsi="宋体" w:eastAsia="宋体" w:cs="宋体"/>
          <w:b w:val="0"/>
          <w:bCs/>
          <w:color w:val="auto"/>
          <w:sz w:val="24"/>
          <w:szCs w:val="24"/>
          <w:highlight w:val="none"/>
          <w:lang w:val="en-US" w:eastAsia="zh-CN"/>
        </w:rPr>
        <w:t>注：1.备注里面提供样品的请各潜在供应商现场提供样品供采购人参考，成交供应商的样品作为合同期间的验收对比。</w:t>
      </w:r>
      <w:bookmarkEnd w:id="96"/>
    </w:p>
    <w:p>
      <w:pPr>
        <w:pageBreakBefore w:val="0"/>
        <w:widowControl w:val="0"/>
        <w:numPr>
          <w:ilvl w:val="0"/>
          <w:numId w:val="14"/>
        </w:numPr>
        <w:kinsoku/>
        <w:wordWrap/>
        <w:overflowPunct/>
        <w:topLinePunct w:val="0"/>
        <w:autoSpaceDE/>
        <w:autoSpaceDN/>
        <w:bidi w:val="0"/>
        <w:adjustRightInd/>
        <w:snapToGrid/>
        <w:spacing w:line="500" w:lineRule="exact"/>
        <w:ind w:firstLine="960" w:firstLineChars="4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表内义齿耗材顺序、序号不可打乱。</w:t>
      </w:r>
    </w:p>
    <w:p>
      <w:pPr>
        <w:pageBreakBefore w:val="0"/>
        <w:widowControl w:val="0"/>
        <w:numPr>
          <w:ilvl w:val="0"/>
          <w:numId w:val="14"/>
        </w:numPr>
        <w:kinsoku/>
        <w:wordWrap/>
        <w:overflowPunct/>
        <w:topLinePunct w:val="0"/>
        <w:autoSpaceDE/>
        <w:autoSpaceDN/>
        <w:bidi w:val="0"/>
        <w:adjustRightInd/>
        <w:snapToGrid/>
        <w:spacing w:line="500" w:lineRule="exact"/>
        <w:ind w:firstLine="960" w:firstLineChars="4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表内义齿耗材数量仅作投标基数，不作为供货数量。</w:t>
      </w:r>
    </w:p>
    <w:p>
      <w:pPr>
        <w:pageBreakBefore w:val="0"/>
        <w:widowControl w:val="0"/>
        <w:numPr>
          <w:ilvl w:val="0"/>
          <w:numId w:val="14"/>
        </w:numPr>
        <w:kinsoku/>
        <w:wordWrap/>
        <w:overflowPunct/>
        <w:topLinePunct w:val="0"/>
        <w:autoSpaceDE/>
        <w:autoSpaceDN/>
        <w:bidi w:val="0"/>
        <w:adjustRightInd/>
        <w:snapToGrid/>
        <w:spacing w:line="500" w:lineRule="exact"/>
        <w:ind w:firstLine="960" w:firstLineChars="4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超过单价</w:t>
      </w:r>
      <w:r>
        <w:rPr>
          <w:rFonts w:hint="eastAsia" w:ascii="宋体" w:hAnsi="宋体" w:cs="宋体"/>
          <w:b w:val="0"/>
          <w:bCs/>
          <w:color w:val="auto"/>
          <w:sz w:val="24"/>
          <w:szCs w:val="24"/>
          <w:highlight w:val="none"/>
          <w:lang w:val="en-US" w:eastAsia="zh-CN"/>
        </w:rPr>
        <w:t>最高</w:t>
      </w:r>
      <w:r>
        <w:rPr>
          <w:rFonts w:hint="eastAsia" w:ascii="宋体" w:hAnsi="宋体" w:eastAsia="宋体" w:cs="宋体"/>
          <w:b w:val="0"/>
          <w:bCs/>
          <w:color w:val="auto"/>
          <w:sz w:val="24"/>
          <w:szCs w:val="24"/>
          <w:highlight w:val="none"/>
          <w:lang w:val="en-US" w:eastAsia="zh-CN"/>
        </w:rPr>
        <w:t>限价作废标处理。</w:t>
      </w:r>
    </w:p>
    <w:p>
      <w:pPr>
        <w:pageBreakBefore w:val="0"/>
        <w:widowControl w:val="0"/>
        <w:numPr>
          <w:ilvl w:val="0"/>
          <w:numId w:val="14"/>
        </w:numPr>
        <w:kinsoku/>
        <w:wordWrap/>
        <w:overflowPunct/>
        <w:topLinePunct w:val="0"/>
        <w:autoSpaceDE/>
        <w:autoSpaceDN/>
        <w:bidi w:val="0"/>
        <w:adjustRightInd/>
        <w:snapToGrid/>
        <w:spacing w:line="500" w:lineRule="exact"/>
        <w:ind w:firstLine="964" w:firstLineChars="400"/>
        <w:textAlignment w:val="auto"/>
        <w:rPr>
          <w:rFonts w:hint="eastAsia" w:ascii="宋体" w:hAnsi="宋体" w:eastAsia="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供应商响应</w:t>
      </w:r>
      <w:r>
        <w:rPr>
          <w:rFonts w:hint="eastAsia" w:ascii="宋体" w:hAnsi="宋体" w:eastAsia="宋体" w:cs="宋体"/>
          <w:b/>
          <w:bCs w:val="0"/>
          <w:color w:val="auto"/>
          <w:sz w:val="24"/>
          <w:szCs w:val="24"/>
          <w:highlight w:val="none"/>
          <w:lang w:val="en-US" w:eastAsia="zh-CN"/>
        </w:rPr>
        <w:t>义齿目录</w:t>
      </w:r>
      <w:r>
        <w:rPr>
          <w:rFonts w:hint="eastAsia" w:ascii="宋体" w:hAnsi="宋体" w:cs="宋体"/>
          <w:b/>
          <w:bCs w:val="0"/>
          <w:color w:val="auto"/>
          <w:sz w:val="24"/>
          <w:szCs w:val="24"/>
          <w:highlight w:val="none"/>
          <w:lang w:val="en-US" w:eastAsia="zh-CN"/>
        </w:rPr>
        <w:t>的</w:t>
      </w:r>
      <w:r>
        <w:rPr>
          <w:rFonts w:hint="eastAsia" w:ascii="宋体" w:hAnsi="宋体" w:eastAsia="宋体" w:cs="宋体"/>
          <w:b/>
          <w:bCs w:val="0"/>
          <w:color w:val="auto"/>
          <w:sz w:val="24"/>
          <w:szCs w:val="24"/>
          <w:highlight w:val="none"/>
          <w:lang w:val="en-US" w:eastAsia="zh-CN"/>
        </w:rPr>
        <w:t>27位医保码覆盖率≥50%，需填写在分项报价表中</w:t>
      </w:r>
      <w:r>
        <w:rPr>
          <w:rFonts w:hint="eastAsia" w:ascii="宋体" w:hAnsi="宋体" w:cs="宋体"/>
          <w:b/>
          <w:bCs w:val="0"/>
          <w:color w:val="auto"/>
          <w:sz w:val="24"/>
          <w:szCs w:val="24"/>
          <w:highlight w:val="none"/>
          <w:lang w:val="en-US" w:eastAsia="zh-CN"/>
        </w:rPr>
        <w:t>，</w:t>
      </w:r>
      <w:r>
        <w:rPr>
          <w:rFonts w:hint="eastAsia" w:ascii="宋体" w:hAnsi="宋体" w:eastAsia="宋体" w:cs="宋体"/>
          <w:b/>
          <w:bCs w:val="0"/>
          <w:color w:val="auto"/>
          <w:sz w:val="24"/>
          <w:szCs w:val="24"/>
          <w:highlight w:val="none"/>
        </w:rPr>
        <w:t>若不满足按无效投标处理。</w:t>
      </w:r>
    </w:p>
    <w:p>
      <w:pPr>
        <w:pageBreakBefore w:val="0"/>
        <w:widowControl w:val="0"/>
        <w:numPr>
          <w:ilvl w:val="0"/>
          <w:numId w:val="14"/>
        </w:numPr>
        <w:kinsoku/>
        <w:wordWrap/>
        <w:overflowPunct/>
        <w:topLinePunct w:val="0"/>
        <w:autoSpaceDE/>
        <w:autoSpaceDN/>
        <w:bidi w:val="0"/>
        <w:adjustRightInd/>
        <w:snapToGrid/>
        <w:spacing w:line="500" w:lineRule="exact"/>
        <w:ind w:firstLine="964" w:firstLineChars="4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供应商</w:t>
      </w:r>
      <w:r>
        <w:rPr>
          <w:rFonts w:hint="eastAsia" w:ascii="宋体" w:hAnsi="宋体" w:cs="宋体"/>
          <w:b/>
          <w:bCs w:val="0"/>
          <w:color w:val="auto"/>
          <w:sz w:val="24"/>
          <w:szCs w:val="24"/>
          <w:highlight w:val="none"/>
          <w:lang w:val="en-US" w:eastAsia="zh-CN"/>
        </w:rPr>
        <w:t>响应品目应</w:t>
      </w:r>
      <w:r>
        <w:rPr>
          <w:rFonts w:hint="eastAsia" w:ascii="宋体" w:hAnsi="宋体" w:eastAsia="宋体" w:cs="宋体"/>
          <w:b/>
          <w:bCs w:val="0"/>
          <w:color w:val="auto"/>
          <w:sz w:val="24"/>
          <w:szCs w:val="24"/>
          <w:highlight w:val="none"/>
          <w:lang w:val="en-US" w:eastAsia="zh-CN"/>
        </w:rPr>
        <w:t>覆盖该项目遴选品目录所有规格的产品</w:t>
      </w:r>
      <w:r>
        <w:rPr>
          <w:rFonts w:hint="eastAsia" w:ascii="宋体" w:hAnsi="宋体" w:cs="宋体"/>
          <w:b/>
          <w:bCs w:val="0"/>
          <w:color w:val="auto"/>
          <w:sz w:val="24"/>
          <w:szCs w:val="24"/>
          <w:highlight w:val="none"/>
          <w:lang w:val="en-US" w:eastAsia="zh-CN"/>
        </w:rPr>
        <w:t>（</w:t>
      </w:r>
      <w:r>
        <w:rPr>
          <w:rFonts w:hint="eastAsia" w:ascii="宋体" w:hAnsi="宋体" w:eastAsia="宋体" w:cs="宋体"/>
          <w:b/>
          <w:bCs w:val="0"/>
          <w:color w:val="auto"/>
          <w:sz w:val="24"/>
          <w:szCs w:val="24"/>
          <w:highlight w:val="none"/>
          <w:lang w:val="en-US" w:eastAsia="zh-CN"/>
        </w:rPr>
        <w:t>覆盖率100%</w:t>
      </w:r>
      <w:r>
        <w:rPr>
          <w:rFonts w:hint="eastAsia" w:ascii="宋体" w:hAnsi="宋体" w:cs="宋体"/>
          <w:b/>
          <w:bCs w:val="0"/>
          <w:color w:val="auto"/>
          <w:sz w:val="24"/>
          <w:szCs w:val="24"/>
          <w:highlight w:val="none"/>
          <w:lang w:val="en-US" w:eastAsia="zh-CN"/>
        </w:rPr>
        <w:t>），</w:t>
      </w:r>
      <w:r>
        <w:rPr>
          <w:rFonts w:hint="eastAsia" w:ascii="宋体" w:hAnsi="宋体" w:eastAsia="宋体" w:cs="宋体"/>
          <w:b/>
          <w:bCs w:val="0"/>
          <w:color w:val="auto"/>
          <w:sz w:val="24"/>
          <w:szCs w:val="24"/>
          <w:highlight w:val="none"/>
        </w:rPr>
        <w:t>若不满足按无效投标处理。</w:t>
      </w:r>
    </w:p>
    <w:p>
      <w:pPr>
        <w:pStyle w:val="3"/>
        <w:pageBreakBefore w:val="0"/>
        <w:kinsoku/>
        <w:wordWrap/>
        <w:overflowPunct/>
        <w:topLinePunct w:val="0"/>
        <w:autoSpaceDE/>
        <w:autoSpaceDN/>
        <w:bidi w:val="0"/>
        <w:adjustRightInd w:val="0"/>
        <w:snapToGrid w:val="0"/>
        <w:spacing w:before="0" w:after="0" w:line="500" w:lineRule="exact"/>
        <w:ind w:firstLine="960" w:firstLineChars="400"/>
        <w:rPr>
          <w:rFonts w:hint="eastAsia" w:ascii="宋体" w:hAnsi="宋体" w:eastAsia="宋体" w:cs="宋体"/>
          <w:b w:val="0"/>
          <w:bCs/>
          <w:color w:val="auto"/>
          <w:sz w:val="24"/>
          <w:szCs w:val="24"/>
          <w:highlight w:val="none"/>
          <w:lang w:val="en-US" w:eastAsia="zh-CN"/>
        </w:rPr>
      </w:pPr>
      <w:bookmarkStart w:id="113" w:name="_Toc26932"/>
      <w:r>
        <w:rPr>
          <w:rFonts w:hint="eastAsia" w:ascii="宋体" w:hAnsi="宋体" w:eastAsia="宋体" w:cs="宋体"/>
          <w:b w:val="0"/>
          <w:bCs/>
          <w:color w:val="auto"/>
          <w:sz w:val="24"/>
          <w:szCs w:val="24"/>
          <w:highlight w:val="none"/>
          <w:lang w:val="en-US" w:eastAsia="zh-CN"/>
        </w:rPr>
        <w:t>7.潜在投标人所投耗材与与表中名称不一致的，应在备注栏中予以说明，但所投耗材必须能完全替代所对应栏耗材且参数能完全满足。</w:t>
      </w:r>
      <w:bookmarkEnd w:id="113"/>
    </w:p>
    <w:p>
      <w:pPr>
        <w:pageBreakBefore w:val="0"/>
        <w:widowControl w:val="0"/>
        <w:numPr>
          <w:ilvl w:val="0"/>
          <w:numId w:val="14"/>
        </w:numPr>
        <w:kinsoku/>
        <w:wordWrap/>
        <w:overflowPunct/>
        <w:topLinePunct w:val="0"/>
        <w:autoSpaceDE/>
        <w:autoSpaceDN/>
        <w:bidi w:val="0"/>
        <w:adjustRightInd/>
        <w:snapToGrid/>
        <w:spacing w:line="500" w:lineRule="exact"/>
        <w:ind w:firstLine="960" w:firstLineChars="400"/>
        <w:textAlignment w:val="auto"/>
        <w:rPr>
          <w:rFonts w:hint="eastAsia" w:ascii="宋体" w:hAnsi="宋体" w:eastAsia="宋体" w:cs="宋体"/>
          <w:b w:val="0"/>
          <w:bCs/>
          <w:color w:val="auto"/>
          <w:sz w:val="24"/>
          <w:szCs w:val="24"/>
          <w:highlight w:val="none"/>
          <w:lang w:val="en-US" w:eastAsia="zh-CN"/>
        </w:rPr>
        <w:sectPr>
          <w:footerReference r:id="rId8" w:type="default"/>
          <w:footerReference r:id="rId9" w:type="even"/>
          <w:pgSz w:w="16840" w:h="11907" w:orient="landscape"/>
          <w:pgMar w:top="1304" w:right="1134" w:bottom="1191" w:left="1134" w:header="964" w:footer="992" w:gutter="0"/>
          <w:pgBorders>
            <w:top w:val="none" w:sz="0" w:space="0"/>
            <w:left w:val="none" w:sz="0" w:space="0"/>
            <w:bottom w:val="none" w:sz="0" w:space="0"/>
            <w:right w:val="none" w:sz="0" w:space="0"/>
          </w:pgBorders>
          <w:pgNumType w:fmt="numberInDash"/>
          <w:cols w:space="720" w:num="1"/>
          <w:docGrid w:linePitch="381" w:charSpace="0"/>
        </w:sectPr>
      </w:pPr>
    </w:p>
    <w:p>
      <w:pPr>
        <w:pStyle w:val="3"/>
        <w:pageBreakBefore w:val="0"/>
        <w:kinsoku/>
        <w:wordWrap/>
        <w:overflowPunct/>
        <w:topLinePunct w:val="0"/>
        <w:autoSpaceDE/>
        <w:autoSpaceDN/>
        <w:bidi w:val="0"/>
        <w:adjustRightInd w:val="0"/>
        <w:snapToGrid w:val="0"/>
        <w:spacing w:before="0" w:after="0" w:line="500" w:lineRule="exact"/>
        <w:ind w:firstLine="480" w:firstLineChars="200"/>
        <w:rPr>
          <w:rFonts w:hint="eastAsia" w:ascii="黑体" w:hAnsi="黑体" w:eastAsia="黑体" w:cs="黑体"/>
          <w:b w:val="0"/>
          <w:bCs/>
          <w:color w:val="auto"/>
          <w:sz w:val="24"/>
          <w:szCs w:val="24"/>
          <w:highlight w:val="none"/>
          <w:lang w:val="en-US" w:eastAsia="zh-CN"/>
        </w:rPr>
      </w:pPr>
      <w:bookmarkStart w:id="114" w:name="_Toc12201"/>
      <w:r>
        <w:rPr>
          <w:rFonts w:hint="eastAsia" w:ascii="黑体" w:hAnsi="黑体" w:eastAsia="黑体" w:cs="黑体"/>
          <w:b w:val="0"/>
          <w:bCs/>
          <w:color w:val="auto"/>
          <w:sz w:val="24"/>
          <w:szCs w:val="24"/>
          <w:highlight w:val="none"/>
          <w:lang w:val="en-US" w:eastAsia="zh-CN"/>
        </w:rPr>
        <w:t>二、技术需求</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kern w:val="0"/>
          <w:sz w:val="24"/>
          <w:szCs w:val="24"/>
          <w:highlight w:val="none"/>
        </w:rPr>
        <w:t>须具有所投标产品有效期内的《中华人民共和国医疗器械注册证》，若注册证有附件的，还须提供附件《医疗器械产品注册登记表》</w:t>
      </w:r>
      <w:r>
        <w:rPr>
          <w:rFonts w:hint="eastAsia" w:ascii="宋体" w:hAnsi="宋体" w:eastAsia="宋体" w:cs="宋体"/>
          <w:color w:val="auto"/>
          <w:kern w:val="0"/>
          <w:sz w:val="24"/>
          <w:szCs w:val="24"/>
          <w:highlight w:val="none"/>
          <w:lang w:eastAsia="zh-CN"/>
        </w:rPr>
        <w:t>。</w:t>
      </w:r>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2.所投产品信息表、质量及售后服务保证书、所投产品的用户名单及产品介绍、彩页资料等材料。</w:t>
      </w:r>
    </w:p>
    <w:p>
      <w:pPr>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《医疗器械生产企业许可证》或《医疗器械经营企业许可证》（复印件加盖鲜章）</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《法人单位数字证书申请表》（复印件加盖鲜章）；</w:t>
      </w:r>
    </w:p>
    <w:p>
      <w:pPr>
        <w:pStyle w:val="22"/>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产品《医疗器械注册证》《医疗器械产品注册登记表》及其附件；属3C认证范围的必须提供3C认证书（复印件加盖鲜章）</w:t>
      </w:r>
      <w:r>
        <w:rPr>
          <w:rFonts w:hint="eastAsia" w:ascii="宋体" w:hAnsi="宋体" w:eastAsia="宋体" w:cs="宋体"/>
          <w:color w:val="auto"/>
          <w:kern w:val="0"/>
          <w:sz w:val="24"/>
          <w:szCs w:val="24"/>
          <w:highlight w:val="none"/>
          <w:lang w:eastAsia="zh-CN"/>
        </w:rPr>
        <w:t>。</w:t>
      </w:r>
    </w:p>
    <w:p>
      <w:pPr>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5.按上表要求提供相应产品的样品。</w:t>
      </w:r>
    </w:p>
    <w:p>
      <w:pPr>
        <w:pStyle w:val="22"/>
        <w:pageBreakBefore w:val="0"/>
        <w:kinsoku/>
        <w:wordWrap/>
        <w:overflowPunct/>
        <w:topLinePunct w:val="0"/>
        <w:autoSpaceDE/>
        <w:autoSpaceDN/>
        <w:bidi w:val="0"/>
        <w:spacing w:line="500" w:lineRule="exact"/>
        <w:rPr>
          <w:rFonts w:hint="eastAsia" w:ascii="宋体" w:hAnsi="宋体" w:eastAsia="宋体" w:cs="宋体"/>
          <w:color w:val="auto"/>
          <w:sz w:val="24"/>
          <w:szCs w:val="24"/>
          <w:highlight w:val="none"/>
          <w:lang w:val="en-US" w:eastAsia="zh-CN"/>
        </w:rPr>
      </w:pPr>
    </w:p>
    <w:p>
      <w:pPr>
        <w:pStyle w:val="22"/>
        <w:pageBreakBefore w:val="0"/>
        <w:kinsoku/>
        <w:wordWrap/>
        <w:overflowPunct/>
        <w:topLinePunct w:val="0"/>
        <w:autoSpaceDE/>
        <w:autoSpaceDN/>
        <w:bidi w:val="0"/>
        <w:spacing w:line="500" w:lineRule="exact"/>
        <w:rPr>
          <w:rFonts w:hint="eastAsia" w:ascii="宋体" w:hAnsi="宋体" w:eastAsia="宋体" w:cs="宋体"/>
          <w:color w:val="auto"/>
          <w:kern w:val="0"/>
          <w:sz w:val="24"/>
          <w:szCs w:val="24"/>
          <w:highlight w:val="none"/>
        </w:rPr>
      </w:pPr>
    </w:p>
    <w:p>
      <w:pPr>
        <w:pageBreakBefore w:val="0"/>
        <w:kinsoku/>
        <w:wordWrap/>
        <w:overflowPunct/>
        <w:topLinePunct w:val="0"/>
        <w:autoSpaceDE/>
        <w:autoSpaceDN/>
        <w:bidi w:val="0"/>
        <w:spacing w:line="500" w:lineRule="exact"/>
        <w:rPr>
          <w:rFonts w:hint="eastAsia" w:ascii="宋体" w:hAnsi="宋体" w:eastAsia="宋体" w:cs="宋体"/>
          <w:color w:val="auto"/>
          <w:sz w:val="24"/>
          <w:szCs w:val="24"/>
          <w:highlight w:val="none"/>
          <w:lang w:val="en-US" w:eastAsia="zh-CN"/>
        </w:rPr>
        <w:sectPr>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81" w:charSpace="0"/>
        </w:sectPr>
      </w:pPr>
    </w:p>
    <w:p>
      <w:pPr>
        <w:pStyle w:val="3"/>
        <w:pageBreakBefore w:val="0"/>
        <w:numPr>
          <w:ilvl w:val="0"/>
          <w:numId w:val="0"/>
        </w:numPr>
        <w:kinsoku/>
        <w:wordWrap/>
        <w:overflowPunct/>
        <w:topLinePunct w:val="0"/>
        <w:autoSpaceDE/>
        <w:autoSpaceDN/>
        <w:bidi w:val="0"/>
        <w:spacing w:before="200" w:after="200" w:line="500" w:lineRule="exact"/>
        <w:jc w:val="center"/>
        <w:rPr>
          <w:rFonts w:hint="eastAsia" w:ascii="方正小标宋_GBK" w:hAnsi="方正小标宋_GBK" w:eastAsia="方正小标宋_GBK" w:cs="方正小标宋_GBK"/>
          <w:b w:val="0"/>
          <w:bCs/>
          <w:color w:val="auto"/>
          <w:sz w:val="44"/>
          <w:szCs w:val="44"/>
          <w:highlight w:val="none"/>
        </w:rPr>
      </w:pPr>
      <w:bookmarkStart w:id="115" w:name="_Toc76462327"/>
      <w:bookmarkStart w:id="116" w:name="_Toc28859"/>
      <w:bookmarkStart w:id="117" w:name="_Toc106030882"/>
      <w:bookmarkStart w:id="118" w:name="_Toc7791"/>
      <w:bookmarkStart w:id="119" w:name="_Toc7971"/>
      <w:r>
        <w:rPr>
          <w:rFonts w:hint="eastAsia" w:ascii="方正小标宋_GBK" w:hAnsi="方正小标宋_GBK" w:eastAsia="方正小标宋_GBK" w:cs="方正小标宋_GBK"/>
          <w:b w:val="0"/>
          <w:bCs/>
          <w:color w:val="auto"/>
          <w:sz w:val="44"/>
          <w:szCs w:val="44"/>
          <w:highlight w:val="none"/>
          <w:lang w:val="en-US" w:eastAsia="zh-CN"/>
        </w:rPr>
        <w:t>第三篇</w:t>
      </w:r>
      <w:r>
        <w:rPr>
          <w:rFonts w:hint="eastAsia" w:ascii="方正小标宋_GBK" w:hAnsi="方正小标宋_GBK" w:eastAsia="方正小标宋_GBK" w:cs="方正小标宋_GBK"/>
          <w:b w:val="0"/>
          <w:bCs/>
          <w:color w:val="auto"/>
          <w:sz w:val="44"/>
          <w:szCs w:val="44"/>
          <w:highlight w:val="none"/>
        </w:rPr>
        <w:t xml:space="preserve"> </w:t>
      </w:r>
      <w:bookmarkEnd w:id="79"/>
      <w:r>
        <w:rPr>
          <w:rFonts w:hint="eastAsia" w:ascii="方正小标宋_GBK" w:hAnsi="方正小标宋_GBK" w:eastAsia="方正小标宋_GBK" w:cs="方正小标宋_GBK"/>
          <w:b w:val="0"/>
          <w:bCs/>
          <w:color w:val="auto"/>
          <w:sz w:val="44"/>
          <w:szCs w:val="44"/>
          <w:highlight w:val="none"/>
        </w:rPr>
        <w:t>项目商务需求</w:t>
      </w:r>
      <w:bookmarkEnd w:id="115"/>
      <w:bookmarkEnd w:id="116"/>
      <w:bookmarkEnd w:id="117"/>
      <w:bookmarkEnd w:id="118"/>
      <w:bookmarkEnd w:id="119"/>
    </w:p>
    <w:p>
      <w:pPr>
        <w:pageBreakBefore w:val="0"/>
        <w:numPr>
          <w:ilvl w:val="0"/>
          <w:numId w:val="0"/>
        </w:numPr>
        <w:kinsoku/>
        <w:wordWrap/>
        <w:overflowPunct/>
        <w:topLinePunct w:val="0"/>
        <w:autoSpaceDE/>
        <w:autoSpaceDN/>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该篇</w:t>
      </w:r>
      <w:r>
        <w:rPr>
          <w:rFonts w:hint="eastAsia" w:ascii="宋体" w:hAnsi="宋体" w:eastAsia="宋体" w:cs="宋体"/>
          <w:color w:val="auto"/>
          <w:sz w:val="24"/>
          <w:szCs w:val="24"/>
          <w:highlight w:val="none"/>
        </w:rPr>
        <w:t>商务</w:t>
      </w:r>
      <w:r>
        <w:rPr>
          <w:rFonts w:hint="eastAsia" w:ascii="宋体" w:hAnsi="宋体" w:eastAsia="宋体" w:cs="宋体"/>
          <w:color w:val="auto"/>
          <w:sz w:val="24"/>
          <w:szCs w:val="24"/>
          <w:highlight w:val="none"/>
          <w:lang w:val="en-US" w:eastAsia="zh-CN"/>
        </w:rPr>
        <w:t>需</w:t>
      </w:r>
      <w:r>
        <w:rPr>
          <w:rFonts w:hint="eastAsia" w:ascii="宋体" w:hAnsi="宋体" w:eastAsia="宋体" w:cs="宋体"/>
          <w:color w:val="auto"/>
          <w:sz w:val="24"/>
          <w:szCs w:val="24"/>
          <w:highlight w:val="none"/>
        </w:rPr>
        <w:t>求</w:t>
      </w:r>
      <w:r>
        <w:rPr>
          <w:rFonts w:hint="eastAsia" w:ascii="宋体" w:hAnsi="宋体" w:eastAsia="宋体" w:cs="宋体"/>
          <w:color w:val="auto"/>
          <w:sz w:val="24"/>
          <w:szCs w:val="24"/>
          <w:highlight w:val="none"/>
          <w:lang w:val="en-US" w:eastAsia="zh-CN"/>
        </w:rPr>
        <w:t>均</w:t>
      </w:r>
      <w:r>
        <w:rPr>
          <w:rFonts w:hint="eastAsia" w:ascii="宋体" w:hAnsi="宋体" w:eastAsia="宋体" w:cs="宋体"/>
          <w:color w:val="auto"/>
          <w:sz w:val="24"/>
          <w:szCs w:val="24"/>
          <w:highlight w:val="none"/>
        </w:rPr>
        <w:t>为符合性审查中的实质性要求，若不满足按无效投标处理。</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8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9977" w:type="dxa"/>
            <w:gridSpan w:val="2"/>
            <w:noWrap w:val="0"/>
            <w:vAlign w:val="center"/>
          </w:tcPr>
          <w:p>
            <w:pPr>
              <w:pStyle w:val="18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center"/>
              <w:textAlignment w:val="auto"/>
              <w:rPr>
                <w:rFonts w:hint="eastAsia" w:ascii="宋体" w:hAnsi="宋体" w:eastAsia="宋体" w:cs="宋体"/>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商务需求表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441" w:type="dxa"/>
            <w:noWrap w:val="0"/>
            <w:vAlign w:val="center"/>
          </w:tcPr>
          <w:p>
            <w:pPr>
              <w:pStyle w:val="18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0" w:firstLineChars="0"/>
              <w:jc w:val="center"/>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合同期限、交货时间、交货地点及验收方式</w:t>
            </w:r>
          </w:p>
        </w:tc>
        <w:tc>
          <w:tcPr>
            <w:tcW w:w="8536" w:type="dxa"/>
            <w:noWrap w:val="0"/>
            <w:vAlign w:val="center"/>
          </w:tcPr>
          <w:p>
            <w:pPr>
              <w:pStyle w:val="180"/>
              <w:keepNext w:val="0"/>
              <w:keepLines w:val="0"/>
              <w:pageBreakBefore w:val="0"/>
              <w:widowControl/>
              <w:numPr>
                <w:ilvl w:val="0"/>
                <w:numId w:val="15"/>
              </w:numPr>
              <w:suppressLineNumbers w:val="0"/>
              <w:kinsoku/>
              <w:wordWrap/>
              <w:overflowPunct/>
              <w:topLinePunct w:val="0"/>
              <w:autoSpaceDE/>
              <w:autoSpaceDN/>
              <w:bidi w:val="0"/>
              <w:adjustRightInd/>
              <w:snapToGrid/>
              <w:spacing w:before="0" w:beforeAutospacing="0" w:after="0" w:afterAutospacing="0" w:line="500" w:lineRule="exact"/>
              <w:ind w:left="0" w:right="0"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合同期限</w:t>
            </w:r>
          </w:p>
          <w:p>
            <w:pPr>
              <w:pStyle w:val="18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560" w:leftChars="200" w:right="0" w:right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自合同签订之日起3年。</w:t>
            </w:r>
          </w:p>
          <w:p>
            <w:pPr>
              <w:pStyle w:val="180"/>
              <w:keepNext w:val="0"/>
              <w:keepLines w:val="0"/>
              <w:pageBreakBefore w:val="0"/>
              <w:widowControl/>
              <w:numPr>
                <w:ilvl w:val="0"/>
                <w:numId w:val="15"/>
              </w:numPr>
              <w:suppressLineNumbers w:val="0"/>
              <w:kinsoku/>
              <w:wordWrap/>
              <w:overflowPunct/>
              <w:topLinePunct w:val="0"/>
              <w:autoSpaceDE/>
              <w:autoSpaceDN/>
              <w:bidi w:val="0"/>
              <w:adjustRightInd/>
              <w:snapToGrid/>
              <w:spacing w:before="0" w:beforeAutospacing="0" w:after="0" w:afterAutospacing="0" w:line="500" w:lineRule="exact"/>
              <w:ind w:left="0" w:leftChars="0" w:right="0"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交货时间</w:t>
            </w:r>
          </w:p>
          <w:p>
            <w:pPr>
              <w:pStyle w:val="18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560" w:leftChars="200" w:right="0" w:right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成交供应商在接到采购人通知后7天内完成送货与验收（货票同行），逾</w:t>
            </w:r>
          </w:p>
          <w:p>
            <w:pPr>
              <w:pStyle w:val="18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560" w:leftChars="200" w:right="0" w:right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期处违约金1000元/次。</w:t>
            </w:r>
          </w:p>
          <w:p>
            <w:pPr>
              <w:pStyle w:val="180"/>
              <w:keepNext w:val="0"/>
              <w:keepLines w:val="0"/>
              <w:pageBreakBefore w:val="0"/>
              <w:widowControl/>
              <w:numPr>
                <w:ilvl w:val="0"/>
                <w:numId w:val="15"/>
              </w:numPr>
              <w:suppressLineNumbers w:val="0"/>
              <w:kinsoku/>
              <w:wordWrap/>
              <w:overflowPunct/>
              <w:topLinePunct w:val="0"/>
              <w:autoSpaceDE/>
              <w:autoSpaceDN/>
              <w:bidi w:val="0"/>
              <w:adjustRightInd/>
              <w:snapToGrid/>
              <w:spacing w:before="0" w:beforeAutospacing="0" w:after="0" w:afterAutospacing="0" w:line="500" w:lineRule="exact"/>
              <w:ind w:left="0" w:leftChars="0" w:right="0"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交货地点</w:t>
            </w:r>
          </w:p>
          <w:p>
            <w:pPr>
              <w:pStyle w:val="18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560" w:leftChars="200" w:right="0" w:rightChars="0"/>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重庆市黔江中心医院库房或院内其他指定地点。</w:t>
            </w:r>
          </w:p>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四、验收方式</w:t>
            </w:r>
          </w:p>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货物到达现场后，</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应经采购人或其指定验收单位清点品名、规格、数量；检查外观，作出</w:t>
            </w:r>
            <w:r>
              <w:rPr>
                <w:rFonts w:hint="eastAsia" w:ascii="宋体" w:hAnsi="宋体" w:eastAsia="宋体" w:cs="宋体"/>
                <w:color w:val="auto"/>
                <w:sz w:val="24"/>
                <w:szCs w:val="24"/>
                <w:highlight w:val="none"/>
                <w:lang w:val="en-US" w:eastAsia="zh-CN"/>
              </w:rPr>
              <w:t>表面</w:t>
            </w:r>
            <w:r>
              <w:rPr>
                <w:rFonts w:hint="eastAsia" w:ascii="宋体" w:hAnsi="宋体" w:eastAsia="宋体" w:cs="宋体"/>
                <w:color w:val="auto"/>
                <w:sz w:val="24"/>
                <w:szCs w:val="24"/>
                <w:highlight w:val="none"/>
              </w:rPr>
              <w:t>验收记录，双方签字确认。</w:t>
            </w:r>
          </w:p>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应保证货物到达用户所在地完好无损，如有缺漏、损坏，由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负责调换、补齐或赔偿。</w:t>
            </w:r>
          </w:p>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应提供完备的技术资料、装箱单和合格证等，并派遣专业技术人员进行现场安装调试。验收合格条件如下：</w:t>
            </w:r>
          </w:p>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设备品种、规格、数量、技术参数以及商品品牌、制造商等与采购合同</w:t>
            </w:r>
            <w:r>
              <w:rPr>
                <w:rFonts w:hint="eastAsia" w:ascii="宋体" w:hAnsi="宋体" w:eastAsia="宋体" w:cs="宋体"/>
                <w:color w:val="auto"/>
                <w:sz w:val="24"/>
                <w:szCs w:val="24"/>
                <w:highlight w:val="none"/>
                <w:lang w:val="en-US" w:eastAsia="zh-CN"/>
              </w:rPr>
              <w:t>及样品</w:t>
            </w:r>
            <w:r>
              <w:rPr>
                <w:rFonts w:hint="eastAsia" w:ascii="宋体" w:hAnsi="宋体" w:eastAsia="宋体" w:cs="宋体"/>
                <w:color w:val="auto"/>
                <w:sz w:val="24"/>
                <w:szCs w:val="24"/>
                <w:highlight w:val="none"/>
              </w:rPr>
              <w:t>一致，性能指标达到规定的标准。</w:t>
            </w:r>
            <w:r>
              <w:rPr>
                <w:rFonts w:hint="eastAsia" w:ascii="宋体" w:hAnsi="宋体" w:eastAsia="宋体" w:cs="宋体"/>
                <w:color w:val="auto"/>
                <w:sz w:val="24"/>
                <w:szCs w:val="24"/>
                <w:highlight w:val="none"/>
                <w:lang w:val="en-US" w:eastAsia="zh-CN"/>
              </w:rPr>
              <w:t>采购人不接受达不到合同约定的耗材。</w:t>
            </w:r>
          </w:p>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货物技术资料、装箱单、合格证等资料齐全。</w:t>
            </w:r>
          </w:p>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在规定时间内完成交货并验收，并经采购人确认。</w:t>
            </w:r>
          </w:p>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.供货产品包装、标识规范，最小包装上需注明产品的生产日期、保质期与使用说明，一次性无菌物品必须注明产品灭菌日期及失效日期。</w:t>
            </w:r>
          </w:p>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.乙方所提供的产品应出具相关的质检报告，并配合甲方进行质量检测，且承担无菌物品检测的相关费用。</w:t>
            </w:r>
          </w:p>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提供的货物未达到</w:t>
            </w:r>
            <w:r>
              <w:rPr>
                <w:rFonts w:hint="eastAsia" w:ascii="宋体" w:hAnsi="宋体" w:eastAsia="宋体" w:cs="宋体"/>
                <w:color w:val="auto"/>
                <w:sz w:val="24"/>
                <w:szCs w:val="24"/>
                <w:highlight w:val="none"/>
                <w:lang w:val="en-US" w:eastAsia="zh-CN"/>
              </w:rPr>
              <w:t>本文件</w:t>
            </w:r>
            <w:r>
              <w:rPr>
                <w:rFonts w:hint="eastAsia" w:ascii="宋体" w:hAnsi="宋体" w:eastAsia="宋体" w:cs="宋体"/>
                <w:color w:val="auto"/>
                <w:sz w:val="24"/>
                <w:szCs w:val="24"/>
                <w:highlight w:val="none"/>
              </w:rPr>
              <w:t>规定要求，且对采购人造成损失的，由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承担一切责任，并赔偿所造成的损失。</w:t>
            </w:r>
          </w:p>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采购人需要制造商对</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交付的产品（包括质量、技术参数等）进行确认的，制造商应予以配合，并出具书面意见。</w:t>
            </w:r>
          </w:p>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firstLine="48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耗材</w:t>
            </w:r>
            <w:r>
              <w:rPr>
                <w:rFonts w:hint="eastAsia" w:ascii="宋体" w:hAnsi="宋体" w:cs="宋体"/>
                <w:b/>
                <w:bCs/>
                <w:color w:val="auto"/>
                <w:sz w:val="24"/>
                <w:szCs w:val="24"/>
                <w:highlight w:val="none"/>
                <w:lang w:val="en-US" w:eastAsia="zh-CN"/>
              </w:rPr>
              <w:t>、义齿</w:t>
            </w:r>
            <w:r>
              <w:rPr>
                <w:rFonts w:hint="eastAsia" w:ascii="宋体" w:hAnsi="宋体" w:eastAsia="宋体" w:cs="宋体"/>
                <w:b/>
                <w:bCs/>
                <w:color w:val="auto"/>
                <w:sz w:val="24"/>
                <w:szCs w:val="24"/>
                <w:highlight w:val="none"/>
                <w:lang w:val="en-US" w:eastAsia="zh-CN"/>
              </w:rPr>
              <w:t>进行试用合格才算验收合格</w:t>
            </w:r>
            <w:r>
              <w:rPr>
                <w:rFonts w:hint="eastAsia" w:ascii="宋体" w:hAnsi="宋体" w:cs="宋体"/>
                <w:b/>
                <w:bCs/>
                <w:color w:val="auto"/>
                <w:sz w:val="24"/>
                <w:szCs w:val="24"/>
                <w:highlight w:val="none"/>
                <w:lang w:val="en-US" w:eastAsia="zh-CN"/>
              </w:rPr>
              <w:t>（≥10个病例）</w:t>
            </w:r>
            <w:r>
              <w:rPr>
                <w:rFonts w:hint="eastAsia" w:ascii="宋体" w:hAnsi="宋体" w:eastAsia="宋体" w:cs="宋体"/>
                <w:b/>
                <w:bCs/>
                <w:color w:val="auto"/>
                <w:sz w:val="24"/>
                <w:szCs w:val="24"/>
                <w:highlight w:val="none"/>
                <w:lang w:val="en-US" w:eastAsia="zh-CN"/>
              </w:rPr>
              <w:t>，采购人不接受达不到合同约定的耗材。验收不合格不予退还投标保证金和不予支付试用费用。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1441" w:type="dxa"/>
            <w:noWrap w:val="0"/>
            <w:vAlign w:val="center"/>
          </w:tcPr>
          <w:p>
            <w:pPr>
              <w:pStyle w:val="18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0" w:firstLineChars="0"/>
              <w:jc w:val="center"/>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质量保证及供货保证</w:t>
            </w:r>
          </w:p>
        </w:tc>
        <w:tc>
          <w:tcPr>
            <w:tcW w:w="8536" w:type="dxa"/>
            <w:noWrap w:val="0"/>
            <w:vAlign w:val="center"/>
          </w:tcPr>
          <w:p>
            <w:pPr>
              <w:keepNext w:val="0"/>
              <w:keepLines w:val="0"/>
              <w:pageBreakBefore w:val="0"/>
              <w:numPr>
                <w:ilvl w:val="0"/>
                <w:numId w:val="16"/>
              </w:numPr>
              <w:suppressLineNumbers w:val="0"/>
              <w:kinsoku/>
              <w:wordWrap/>
              <w:overflowPunct/>
              <w:topLinePunct w:val="0"/>
              <w:autoSpaceDE/>
              <w:autoSpaceDN/>
              <w:bidi w:val="0"/>
              <w:spacing w:before="0" w:beforeAutospacing="0" w:after="0" w:afterAutospacing="0" w:line="500" w:lineRule="exact"/>
              <w:ind w:left="48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产品质量保证期：</w:t>
            </w:r>
            <w:r>
              <w:rPr>
                <w:rFonts w:hint="eastAsia" w:ascii="宋体" w:hAnsi="宋体" w:eastAsia="宋体" w:cs="宋体"/>
                <w:color w:val="auto"/>
                <w:sz w:val="24"/>
                <w:szCs w:val="24"/>
                <w:highlight w:val="none"/>
                <w:lang w:val="en-US" w:eastAsia="zh-CN"/>
              </w:rPr>
              <w:t>所供应活动义齿质保期≥1年，固定义齿质保期</w:t>
            </w:r>
          </w:p>
          <w:p>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500" w:lineRule="exact"/>
              <w:ind w:left="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≥2年。</w:t>
            </w:r>
          </w:p>
          <w:p>
            <w:pPr>
              <w:pStyle w:val="180"/>
              <w:keepNext w:val="0"/>
              <w:keepLines w:val="0"/>
              <w:pageBreakBefore w:val="0"/>
              <w:widowControl/>
              <w:numPr>
                <w:ilvl w:val="0"/>
                <w:numId w:val="16"/>
              </w:numPr>
              <w:suppressLineNumbers w:val="0"/>
              <w:kinsoku/>
              <w:wordWrap/>
              <w:overflowPunct/>
              <w:topLinePunct w:val="0"/>
              <w:autoSpaceDE/>
              <w:autoSpaceDN/>
              <w:bidi w:val="0"/>
              <w:adjustRightInd/>
              <w:snapToGrid/>
              <w:spacing w:before="0" w:beforeAutospacing="0" w:after="0" w:afterAutospacing="0" w:line="500" w:lineRule="exact"/>
              <w:ind w:left="48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供货保证：</w:t>
            </w:r>
            <w:r>
              <w:rPr>
                <w:rFonts w:hint="eastAsia" w:ascii="宋体" w:hAnsi="宋体" w:eastAsia="宋体" w:cs="宋体"/>
                <w:color w:val="auto"/>
                <w:sz w:val="24"/>
                <w:szCs w:val="24"/>
                <w:highlight w:val="none"/>
              </w:rPr>
              <w:t>成交供应商如出现一年内三次及以上不能按需供货（或单次</w:t>
            </w:r>
          </w:p>
          <w:p>
            <w:pPr>
              <w:pStyle w:val="18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超过下订单后1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天未发货）或者一年内出现三次产品质量问题的情况，采购人有权提前单方中止采购合同，并每发生一次，处违约金2000元/次。</w:t>
            </w:r>
          </w:p>
          <w:p>
            <w:pPr>
              <w:pStyle w:val="30"/>
              <w:keepNext w:val="0"/>
              <w:keepLines w:val="0"/>
              <w:pageBreakBefore w:val="0"/>
              <w:numPr>
                <w:ilvl w:val="0"/>
                <w:numId w:val="16"/>
              </w:numPr>
              <w:suppressLineNumbers w:val="0"/>
              <w:kinsoku/>
              <w:wordWrap/>
              <w:overflowPunct/>
              <w:topLinePunct w:val="0"/>
              <w:autoSpaceDE/>
              <w:autoSpaceDN/>
              <w:bidi w:val="0"/>
              <w:spacing w:before="0" w:beforeAutospacing="0" w:after="0" w:afterAutospacing="0" w:line="500" w:lineRule="exact"/>
              <w:ind w:left="480" w:leftChars="0" w:right="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返工率</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441" w:type="dxa"/>
            <w:noWrap w:val="0"/>
            <w:vAlign w:val="center"/>
          </w:tcPr>
          <w:p>
            <w:pPr>
              <w:pStyle w:val="18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0" w:firstLineChars="0"/>
              <w:jc w:val="center"/>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报价要求</w:t>
            </w:r>
          </w:p>
        </w:tc>
        <w:tc>
          <w:tcPr>
            <w:tcW w:w="8536" w:type="dxa"/>
            <w:noWrap w:val="0"/>
            <w:vAlign w:val="center"/>
          </w:tcPr>
          <w:p>
            <w:pPr>
              <w:pStyle w:val="180"/>
              <w:keepNext w:val="0"/>
              <w:keepLines w:val="0"/>
              <w:pageBreakBefore w:val="0"/>
              <w:widowControl/>
              <w:numPr>
                <w:ilvl w:val="0"/>
                <w:numId w:val="17"/>
              </w:numPr>
              <w:suppressLineNumbers w:val="0"/>
              <w:kinsoku/>
              <w:wordWrap/>
              <w:overflowPunct/>
              <w:topLinePunct w:val="0"/>
              <w:autoSpaceDE/>
              <w:autoSpaceDN/>
              <w:bidi w:val="0"/>
              <w:adjustRightInd w:val="0"/>
              <w:snapToGrid w:val="0"/>
              <w:spacing w:before="0" w:beforeAutospacing="0" w:after="0" w:afterAutospacing="0" w:line="500" w:lineRule="exact"/>
              <w:ind w:left="480" w:leftChars="0" w:right="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该项目须向采购人提供电子版报价（excel版），电子版报价与纸质版</w:t>
            </w:r>
          </w:p>
          <w:p>
            <w:pPr>
              <w:pStyle w:val="18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00" w:lineRule="exact"/>
              <w:ind w:left="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投标文件同时递交（保持一致，如有误则相应投标人以废标处理）。</w:t>
            </w:r>
          </w:p>
          <w:p>
            <w:pPr>
              <w:pStyle w:val="180"/>
              <w:keepNext w:val="0"/>
              <w:keepLines w:val="0"/>
              <w:pageBreakBefore w:val="0"/>
              <w:widowControl/>
              <w:numPr>
                <w:ilvl w:val="0"/>
                <w:numId w:val="17"/>
              </w:numPr>
              <w:suppressLineNumbers w:val="0"/>
              <w:kinsoku/>
              <w:wordWrap/>
              <w:overflowPunct/>
              <w:topLinePunct w:val="0"/>
              <w:autoSpaceDE/>
              <w:autoSpaceDN/>
              <w:bidi w:val="0"/>
              <w:adjustRightInd w:val="0"/>
              <w:snapToGrid w:val="0"/>
              <w:spacing w:before="0" w:beforeAutospacing="0" w:after="0" w:afterAutospacing="0" w:line="500" w:lineRule="exact"/>
              <w:ind w:left="480" w:leftChars="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r>
              <w:rPr>
                <w:rFonts w:hint="eastAsia" w:ascii="宋体" w:hAnsi="宋体" w:eastAsia="宋体" w:cs="宋体"/>
                <w:color w:val="auto"/>
                <w:kern w:val="0"/>
                <w:sz w:val="24"/>
                <w:szCs w:val="24"/>
                <w:highlight w:val="none"/>
              </w:rPr>
              <w:t>须为</w:t>
            </w:r>
            <w:r>
              <w:rPr>
                <w:rFonts w:hint="eastAsia" w:ascii="宋体" w:hAnsi="宋体" w:eastAsia="宋体" w:cs="宋体"/>
                <w:color w:val="auto"/>
                <w:kern w:val="0"/>
                <w:sz w:val="24"/>
                <w:szCs w:val="24"/>
                <w:highlight w:val="none"/>
                <w:lang w:val="en-US" w:eastAsia="zh-CN"/>
              </w:rPr>
              <w:t>包干单价</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lang w:val="en-US" w:eastAsia="zh-CN"/>
              </w:rPr>
              <w:t>包括货物、运输、验收、SPD系统管理费及其</w:t>
            </w:r>
          </w:p>
          <w:p>
            <w:pPr>
              <w:pStyle w:val="18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00" w:lineRule="exact"/>
              <w:ind w:left="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他完成该项目所需的全部费用</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lang w:val="en-US" w:eastAsia="zh-CN"/>
              </w:rPr>
              <w:t>需自行核实所需费用，</w:t>
            </w:r>
            <w:r>
              <w:rPr>
                <w:rFonts w:hint="eastAsia" w:ascii="宋体" w:hAnsi="宋体" w:eastAsia="宋体" w:cs="宋体"/>
                <w:color w:val="auto"/>
                <w:sz w:val="24"/>
                <w:szCs w:val="24"/>
                <w:highlight w:val="none"/>
              </w:rPr>
              <w:t>因</w:t>
            </w:r>
            <w:r>
              <w:rPr>
                <w:rFonts w:hint="eastAsia" w:ascii="宋体" w:hAnsi="宋体" w:eastAsia="宋体" w:cs="宋体"/>
                <w:color w:val="auto"/>
                <w:sz w:val="24"/>
                <w:szCs w:val="24"/>
                <w:highlight w:val="none"/>
                <w:lang w:val="en-US" w:eastAsia="zh-CN"/>
              </w:rPr>
              <w:t>其</w:t>
            </w:r>
            <w:r>
              <w:rPr>
                <w:rFonts w:hint="eastAsia" w:ascii="宋体" w:hAnsi="宋体" w:eastAsia="宋体" w:cs="宋体"/>
                <w:color w:val="auto"/>
                <w:sz w:val="24"/>
                <w:szCs w:val="24"/>
                <w:highlight w:val="none"/>
              </w:rPr>
              <w:t>自身原因造成漏报、少报皆由其自行承担责任，采购人不再补偿。</w:t>
            </w:r>
          </w:p>
          <w:p>
            <w:pPr>
              <w:pStyle w:val="30"/>
              <w:keepNext w:val="0"/>
              <w:keepLines w:val="0"/>
              <w:pageBreakBefore w:val="0"/>
              <w:numPr>
                <w:ilvl w:val="0"/>
                <w:numId w:val="17"/>
              </w:numPr>
              <w:suppressLineNumbers w:val="0"/>
              <w:kinsoku/>
              <w:wordWrap/>
              <w:overflowPunct/>
              <w:topLinePunct w:val="0"/>
              <w:autoSpaceDE/>
              <w:autoSpaceDN/>
              <w:bidi w:val="0"/>
              <w:spacing w:before="0" w:beforeAutospacing="0" w:after="0" w:afterAutospacing="0" w:line="500" w:lineRule="exact"/>
              <w:ind w:left="480" w:leftChars="0" w:right="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highlight w:val="none"/>
              </w:rPr>
              <w:t>最终成交价不得高于药交所平台</w:t>
            </w:r>
            <w:r>
              <w:rPr>
                <w:rFonts w:hint="eastAsia" w:ascii="宋体" w:hAnsi="宋体" w:eastAsia="宋体" w:cs="宋体"/>
                <w:color w:val="auto"/>
                <w:sz w:val="24"/>
                <w:szCs w:val="24"/>
                <w:highlight w:val="none"/>
                <w:lang w:val="en-US" w:eastAsia="zh-CN"/>
              </w:rPr>
              <w:t>最低</w:t>
            </w:r>
            <w:r>
              <w:rPr>
                <w:rFonts w:hint="eastAsia" w:ascii="宋体" w:hAnsi="宋体" w:eastAsia="宋体" w:cs="宋体"/>
                <w:color w:val="auto"/>
                <w:sz w:val="24"/>
                <w:szCs w:val="24"/>
                <w:highlight w:val="none"/>
              </w:rPr>
              <w:t>价格（如有</w:t>
            </w:r>
            <w:r>
              <w:rPr>
                <w:rFonts w:hint="eastAsia" w:ascii="宋体" w:hAnsi="宋体" w:eastAsia="宋体" w:cs="宋体"/>
                <w:color w:val="auto"/>
                <w:sz w:val="24"/>
                <w:szCs w:val="24"/>
                <w:highlight w:val="none"/>
                <w:lang w:eastAsia="zh-CN"/>
              </w:rPr>
              <w:t>，药交所平台</w:t>
            </w:r>
            <w:r>
              <w:rPr>
                <w:rFonts w:hint="eastAsia" w:ascii="宋体" w:hAnsi="宋体" w:eastAsia="宋体" w:cs="宋体"/>
                <w:color w:val="auto"/>
                <w:sz w:val="24"/>
                <w:szCs w:val="24"/>
                <w:highlight w:val="none"/>
                <w:lang w:val="en-US" w:eastAsia="zh-CN"/>
              </w:rPr>
              <w:t>最</w:t>
            </w:r>
          </w:p>
          <w:p>
            <w:pPr>
              <w:pStyle w:val="30"/>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500" w:lineRule="exact"/>
              <w:ind w:left="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低</w:t>
            </w:r>
            <w:r>
              <w:rPr>
                <w:rFonts w:hint="eastAsia" w:ascii="宋体" w:hAnsi="宋体" w:eastAsia="宋体" w:cs="宋体"/>
                <w:color w:val="auto"/>
                <w:sz w:val="24"/>
                <w:szCs w:val="24"/>
                <w:highlight w:val="none"/>
                <w:lang w:eastAsia="zh-CN"/>
              </w:rPr>
              <w:t>价格</w:t>
            </w:r>
            <w:r>
              <w:rPr>
                <w:rFonts w:hint="eastAsia" w:ascii="宋体" w:hAnsi="宋体" w:eastAsia="宋体" w:cs="宋体"/>
                <w:color w:val="auto"/>
                <w:sz w:val="24"/>
                <w:szCs w:val="24"/>
                <w:highlight w:val="none"/>
                <w:lang w:val="en-US" w:eastAsia="zh-CN"/>
              </w:rPr>
              <w:t>包含一、二、三级医院</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渝东南片区、涪陵中心医院的供应价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以最低的为准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合同效期，供应商需适时按照上述最低价原则供货结算每次供货前成交供应商均需自行核实单价，如被采购人核实到应降未降的采购人不予支付该批次耗材货款。</w:t>
            </w:r>
          </w:p>
          <w:p>
            <w:pPr>
              <w:pStyle w:val="30"/>
              <w:keepNext w:val="0"/>
              <w:keepLines w:val="0"/>
              <w:pageBreakBefore w:val="0"/>
              <w:numPr>
                <w:ilvl w:val="0"/>
                <w:numId w:val="17"/>
              </w:numPr>
              <w:suppressLineNumbers w:val="0"/>
              <w:kinsoku/>
              <w:wordWrap/>
              <w:overflowPunct/>
              <w:topLinePunct w:val="0"/>
              <w:autoSpaceDE/>
              <w:autoSpaceDN/>
              <w:bidi w:val="0"/>
              <w:spacing w:before="0" w:beforeAutospacing="0" w:after="0" w:afterAutospacing="0" w:line="500" w:lineRule="exact"/>
              <w:ind w:left="480" w:leftChars="0" w:right="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若本项目报价不符合上述第三条要求的，一经发现，采购人将有权单方</w:t>
            </w:r>
          </w:p>
          <w:p>
            <w:pPr>
              <w:pStyle w:val="30"/>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500" w:lineRule="exact"/>
              <w:ind w:left="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面解除合同并追究违约责任。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441" w:type="dxa"/>
            <w:noWrap w:val="0"/>
            <w:vAlign w:val="center"/>
          </w:tcPr>
          <w:p>
            <w:pPr>
              <w:pStyle w:val="18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0" w:firstLineChars="0"/>
              <w:jc w:val="center"/>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付款方式</w:t>
            </w:r>
          </w:p>
        </w:tc>
        <w:tc>
          <w:tcPr>
            <w:tcW w:w="8536" w:type="dxa"/>
            <w:noWrap w:val="0"/>
            <w:vAlign w:val="center"/>
          </w:tcPr>
          <w:p>
            <w:pPr>
              <w:pStyle w:val="30"/>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z w:val="24"/>
                <w:szCs w:val="24"/>
                <w:highlight w:val="none"/>
                <w:lang w:val="en-US" w:eastAsia="zh-CN"/>
              </w:rPr>
              <w:t>耗材供应、出入库、支付将纳入SPD公司进行管理，按供货批次办理出入库手续，采购人在收到发票后1</w:t>
            </w: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个月内以转账方式支付。（如有违约，在应支款项中直接扣除）。每月与库房、财务进行对账，逾期未按规定时限办理出入库手续、财务对账的情形视为放弃对应收款项的收取。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441" w:type="dxa"/>
            <w:noWrap w:val="0"/>
            <w:vAlign w:val="center"/>
          </w:tcPr>
          <w:p>
            <w:pPr>
              <w:pStyle w:val="18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0" w:firstLineChars="0"/>
              <w:jc w:val="center"/>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知识产权</w:t>
            </w:r>
          </w:p>
        </w:tc>
        <w:tc>
          <w:tcPr>
            <w:tcW w:w="8536" w:type="dxa"/>
            <w:noWrap w:val="0"/>
            <w:vAlign w:val="center"/>
          </w:tcPr>
          <w:p>
            <w:pPr>
              <w:pStyle w:val="180"/>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rPr>
              <w:t>采购人在中华人民共和国境内使用</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提供的货物及服务时免受第三方提出的侵犯其专利权或其它知识产权的起诉。如果第三方提出侵权指控，</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应承担由此而引起的一切法律责任和</w:t>
            </w:r>
            <w:r>
              <w:rPr>
                <w:rFonts w:hint="eastAsia" w:ascii="宋体" w:hAnsi="宋体" w:eastAsia="宋体" w:cs="宋体"/>
                <w:color w:val="auto"/>
                <w:sz w:val="24"/>
                <w:szCs w:val="24"/>
                <w:highlight w:val="none"/>
                <w:lang w:val="en-US" w:eastAsia="zh-CN"/>
              </w:rPr>
              <w:t>经济责任</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1441" w:type="dxa"/>
            <w:noWrap w:val="0"/>
            <w:vAlign w:val="center"/>
          </w:tcPr>
          <w:p>
            <w:pPr>
              <w:pStyle w:val="18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textAlignment w:val="auto"/>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其他</w:t>
            </w:r>
          </w:p>
        </w:tc>
        <w:tc>
          <w:tcPr>
            <w:tcW w:w="8536" w:type="dxa"/>
            <w:noWrap w:val="0"/>
            <w:vAlign w:val="center"/>
          </w:tcPr>
          <w:p>
            <w:pPr>
              <w:pStyle w:val="180"/>
              <w:keepNext w:val="0"/>
              <w:keepLines w:val="0"/>
              <w:pageBreakBefore w:val="0"/>
              <w:numPr>
                <w:ilvl w:val="0"/>
                <w:numId w:val="18"/>
              </w:numPr>
              <w:suppressLineNumbers w:val="0"/>
              <w:kinsoku/>
              <w:wordWrap/>
              <w:overflowPunct/>
              <w:topLinePunct w:val="0"/>
              <w:autoSpaceDE/>
              <w:autoSpaceDN/>
              <w:bidi w:val="0"/>
              <w:spacing w:before="0" w:beforeAutospacing="0" w:after="0" w:afterAutospacing="0" w:line="40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投标人须在投标现场提供样品，根据需求提供。</w:t>
            </w:r>
          </w:p>
          <w:p>
            <w:pPr>
              <w:pStyle w:val="180"/>
              <w:keepNext w:val="0"/>
              <w:keepLines w:val="0"/>
              <w:pageBreakBefore w:val="0"/>
              <w:numPr>
                <w:ilvl w:val="0"/>
                <w:numId w:val="18"/>
              </w:numPr>
              <w:suppressLineNumbers w:val="0"/>
              <w:kinsoku/>
              <w:wordWrap/>
              <w:overflowPunct/>
              <w:topLinePunct w:val="0"/>
              <w:autoSpaceDE/>
              <w:autoSpaceDN/>
              <w:bidi w:val="0"/>
              <w:spacing w:before="0" w:beforeAutospacing="0" w:after="0" w:afterAutospacing="0" w:line="40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投标人必须在响应文件中对以上条款和服务承诺明确列出，承诺内容必须达到本篇及遴选文件其他条款的要求。</w:t>
            </w:r>
          </w:p>
          <w:p>
            <w:pPr>
              <w:pStyle w:val="180"/>
              <w:keepNext w:val="0"/>
              <w:keepLines w:val="0"/>
              <w:pageBreakBefore w:val="0"/>
              <w:numPr>
                <w:ilvl w:val="0"/>
                <w:numId w:val="18"/>
              </w:numPr>
              <w:suppressLineNumbers w:val="0"/>
              <w:kinsoku/>
              <w:wordWrap/>
              <w:overflowPunct/>
              <w:topLinePunct w:val="0"/>
              <w:autoSpaceDE/>
              <w:autoSpaceDN/>
              <w:bidi w:val="0"/>
              <w:spacing w:before="0" w:beforeAutospacing="0" w:after="0" w:afterAutospacing="0" w:line="40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因政策原因需终止合同履行的，不承担违约责任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不予补偿、赔偿</w:t>
            </w:r>
            <w:r>
              <w:rPr>
                <w:rFonts w:hint="eastAsia" w:ascii="宋体" w:hAnsi="宋体" w:eastAsia="宋体" w:cs="宋体"/>
                <w:color w:val="auto"/>
                <w:sz w:val="24"/>
                <w:szCs w:val="24"/>
                <w:highlight w:val="none"/>
              </w:rPr>
              <w:t>。</w:t>
            </w:r>
          </w:p>
          <w:p>
            <w:pPr>
              <w:pStyle w:val="180"/>
              <w:keepNext w:val="0"/>
              <w:keepLines w:val="0"/>
              <w:pageBreakBefore w:val="0"/>
              <w:numPr>
                <w:ilvl w:val="0"/>
                <w:numId w:val="18"/>
              </w:numPr>
              <w:suppressLineNumbers w:val="0"/>
              <w:kinsoku/>
              <w:wordWrap/>
              <w:overflowPunct/>
              <w:topLinePunct w:val="0"/>
              <w:autoSpaceDE/>
              <w:autoSpaceDN/>
              <w:bidi w:val="0"/>
              <w:spacing w:before="0" w:beforeAutospacing="0" w:after="0" w:afterAutospacing="0" w:line="40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合同期内，采购人根据自身需求向供应商下达采购需求，采购无保底量，同时采购人有权</w:t>
            </w:r>
            <w:r>
              <w:rPr>
                <w:rFonts w:hint="eastAsia" w:ascii="宋体" w:hAnsi="宋体" w:eastAsia="宋体" w:cs="宋体"/>
                <w:color w:val="auto"/>
                <w:sz w:val="24"/>
                <w:szCs w:val="24"/>
                <w:highlight w:val="none"/>
                <w:lang w:val="en-US" w:eastAsia="zh-CN"/>
              </w:rPr>
              <w:t>单方</w:t>
            </w:r>
            <w:r>
              <w:rPr>
                <w:rFonts w:hint="eastAsia" w:ascii="宋体" w:hAnsi="宋体" w:eastAsia="宋体" w:cs="宋体"/>
                <w:color w:val="auto"/>
                <w:sz w:val="24"/>
                <w:szCs w:val="24"/>
                <w:highlight w:val="none"/>
              </w:rPr>
              <w:t>增加其他品牌</w:t>
            </w:r>
            <w:r>
              <w:rPr>
                <w:rFonts w:hint="eastAsia" w:ascii="宋体" w:hAnsi="宋体" w:eastAsia="宋体" w:cs="宋体"/>
                <w:color w:val="auto"/>
                <w:sz w:val="24"/>
                <w:szCs w:val="24"/>
                <w:highlight w:val="none"/>
                <w:lang w:val="en-US" w:eastAsia="zh-CN"/>
              </w:rPr>
              <w:t>或其他配送</w:t>
            </w:r>
            <w:r>
              <w:rPr>
                <w:rFonts w:hint="eastAsia" w:ascii="宋体" w:hAnsi="宋体" w:eastAsia="宋体" w:cs="宋体"/>
                <w:color w:val="auto"/>
                <w:sz w:val="24"/>
                <w:szCs w:val="24"/>
                <w:highlight w:val="none"/>
              </w:rPr>
              <w:t>商。</w:t>
            </w:r>
          </w:p>
          <w:p>
            <w:pPr>
              <w:pStyle w:val="180"/>
              <w:keepNext w:val="0"/>
              <w:keepLines w:val="0"/>
              <w:pageBreakBefore w:val="0"/>
              <w:numPr>
                <w:ilvl w:val="0"/>
                <w:numId w:val="18"/>
              </w:numPr>
              <w:suppressLineNumbers w:val="0"/>
              <w:kinsoku/>
              <w:wordWrap/>
              <w:overflowPunct/>
              <w:topLinePunct w:val="0"/>
              <w:autoSpaceDE/>
              <w:autoSpaceDN/>
              <w:bidi w:val="0"/>
              <w:spacing w:before="0" w:beforeAutospacing="0" w:after="0" w:afterAutospacing="0" w:line="400" w:lineRule="exact"/>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合同期内，</w:t>
            </w:r>
            <w:r>
              <w:rPr>
                <w:rFonts w:hint="eastAsia" w:ascii="宋体" w:hAnsi="宋体" w:eastAsia="宋体" w:cs="宋体"/>
                <w:color w:val="auto"/>
                <w:sz w:val="24"/>
                <w:szCs w:val="24"/>
                <w:highlight w:val="none"/>
                <w:lang w:val="en-US" w:eastAsia="zh-CN"/>
              </w:rPr>
              <w:t>必须在药交所上签订合同或备案合同进行线上交易，</w:t>
            </w:r>
            <w:r>
              <w:rPr>
                <w:rFonts w:hint="eastAsia" w:ascii="宋体" w:hAnsi="宋体" w:eastAsia="宋体" w:cs="宋体"/>
                <w:color w:val="auto"/>
                <w:sz w:val="24"/>
                <w:szCs w:val="24"/>
                <w:highlight w:val="none"/>
              </w:rPr>
              <w:t>价格如有下调，以价</w:t>
            </w:r>
            <w:r>
              <w:rPr>
                <w:rFonts w:hint="eastAsia" w:ascii="宋体" w:hAnsi="宋体" w:eastAsia="宋体" w:cs="宋体"/>
                <w:color w:val="auto"/>
                <w:sz w:val="24"/>
                <w:szCs w:val="24"/>
                <w:highlight w:val="none"/>
                <w:lang w:val="en-US" w:eastAsia="zh-CN"/>
              </w:rPr>
              <w:t>低为原则采购；如耗材集采且入围集采目录，则执行集采价格。成交供应商在合同有效期内对某项耗材不予供货或提高供应价格的情形承担5000元/次的违约责任。</w:t>
            </w:r>
          </w:p>
          <w:p>
            <w:pPr>
              <w:pStyle w:val="180"/>
              <w:keepNext w:val="0"/>
              <w:keepLines w:val="0"/>
              <w:pageBreakBefore w:val="0"/>
              <w:numPr>
                <w:ilvl w:val="0"/>
                <w:numId w:val="18"/>
              </w:numPr>
              <w:suppressLineNumbers w:val="0"/>
              <w:kinsoku/>
              <w:wordWrap/>
              <w:overflowPunct/>
              <w:topLinePunct w:val="0"/>
              <w:autoSpaceDE/>
              <w:autoSpaceDN/>
              <w:bidi w:val="0"/>
              <w:spacing w:before="0" w:beforeAutospacing="0" w:after="0" w:afterAutospacing="0" w:line="40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val="en-US" w:eastAsia="zh-CN"/>
              </w:rPr>
              <w:t>签订后</w:t>
            </w:r>
            <w:r>
              <w:rPr>
                <w:rFonts w:hint="eastAsia" w:ascii="宋体" w:hAnsi="宋体" w:eastAsia="宋体" w:cs="宋体"/>
                <w:color w:val="auto"/>
                <w:sz w:val="24"/>
                <w:szCs w:val="24"/>
                <w:highlight w:val="none"/>
              </w:rPr>
              <w:t>如发生争议由双方协商解决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协商不成双方均可</w:t>
            </w:r>
            <w:r>
              <w:rPr>
                <w:rFonts w:hint="eastAsia" w:ascii="宋体" w:hAnsi="宋体" w:eastAsia="宋体" w:cs="宋体"/>
                <w:color w:val="auto"/>
                <w:sz w:val="24"/>
                <w:szCs w:val="24"/>
                <w:highlight w:val="none"/>
                <w:lang w:val="en-US" w:eastAsia="zh-CN"/>
              </w:rPr>
              <w:t>向黔江区人</w:t>
            </w:r>
            <w:r>
              <w:rPr>
                <w:rFonts w:hint="eastAsia" w:hAnsi="宋体" w:cs="宋体"/>
                <w:color w:val="auto"/>
                <w:sz w:val="24"/>
                <w:szCs w:val="24"/>
                <w:highlight w:val="none"/>
                <w:lang w:val="en-US" w:eastAsia="zh-CN"/>
              </w:rPr>
              <w:t>民</w:t>
            </w:r>
            <w:r>
              <w:rPr>
                <w:rFonts w:hint="eastAsia" w:ascii="宋体" w:hAnsi="宋体" w:eastAsia="宋体" w:cs="宋体"/>
                <w:color w:val="auto"/>
                <w:sz w:val="24"/>
                <w:szCs w:val="24"/>
                <w:highlight w:val="none"/>
                <w:lang w:val="en-US" w:eastAsia="zh-CN"/>
              </w:rPr>
              <w:t>法院提起诉讼。</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的服务行为或因</w:t>
            </w:r>
            <w:r>
              <w:rPr>
                <w:rFonts w:hint="eastAsia" w:ascii="宋体" w:hAnsi="宋体" w:eastAsia="宋体" w:cs="宋体"/>
                <w:color w:val="auto"/>
                <w:sz w:val="24"/>
                <w:szCs w:val="24"/>
                <w:highlight w:val="none"/>
                <w:lang w:val="en-US" w:eastAsia="zh-CN"/>
              </w:rPr>
              <w:t>产品</w:t>
            </w:r>
            <w:r>
              <w:rPr>
                <w:rFonts w:hint="eastAsia" w:ascii="宋体" w:hAnsi="宋体" w:eastAsia="宋体" w:cs="宋体"/>
                <w:color w:val="auto"/>
                <w:sz w:val="24"/>
                <w:szCs w:val="24"/>
                <w:highlight w:val="none"/>
              </w:rPr>
              <w:t>质量原因导致采购人、第三方的人身财产受到损害、损失、伤害由</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承担法律、经济责任，如受到损害、损失、伤害方上诉到法院，如判决采购人所承担的经济责任也由</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承担。</w:t>
            </w:r>
          </w:p>
          <w:p>
            <w:pPr>
              <w:pStyle w:val="180"/>
              <w:keepNext w:val="0"/>
              <w:keepLines w:val="0"/>
              <w:pageBreakBefore w:val="0"/>
              <w:numPr>
                <w:ilvl w:val="0"/>
                <w:numId w:val="18"/>
              </w:numPr>
              <w:suppressLineNumbers w:val="0"/>
              <w:kinsoku/>
              <w:wordWrap/>
              <w:overflowPunct/>
              <w:topLinePunct w:val="0"/>
              <w:autoSpaceDE/>
              <w:autoSpaceDN/>
              <w:bidi w:val="0"/>
              <w:spacing w:before="0" w:beforeAutospacing="0" w:after="0" w:afterAutospacing="0" w:line="40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招标文件、投标文件是合同不可分割的一部分。其他未尽事宜由供需双方在采购合同中详细约定。</w:t>
            </w:r>
          </w:p>
          <w:p>
            <w:pPr>
              <w:pStyle w:val="180"/>
              <w:keepNext w:val="0"/>
              <w:keepLines w:val="0"/>
              <w:pageBreakBefore w:val="0"/>
              <w:numPr>
                <w:ilvl w:val="0"/>
                <w:numId w:val="18"/>
              </w:numPr>
              <w:suppressLineNumbers w:val="0"/>
              <w:kinsoku/>
              <w:wordWrap/>
              <w:overflowPunct/>
              <w:topLinePunct w:val="0"/>
              <w:autoSpaceDE/>
              <w:autoSpaceDN/>
              <w:bidi w:val="0"/>
              <w:spacing w:before="0" w:beforeAutospacing="0" w:after="0" w:afterAutospacing="0" w:line="40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中标人需根据国家、采购人有关要求，完成相关信息系统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包含但不限于：HIS、SPD、HRP、UDI码、27医保码等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的准入、编码、录入、变更、维护、新增等。</w:t>
            </w:r>
          </w:p>
          <w:p>
            <w:pPr>
              <w:pStyle w:val="180"/>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firstLineChars="0"/>
              <w:textAlignment w:val="auto"/>
              <w:rPr>
                <w:rFonts w:hint="eastAsia" w:ascii="宋体" w:hAnsi="宋体" w:eastAsia="宋体" w:cs="宋体"/>
                <w:b w:val="0"/>
                <w:bCs w:val="0"/>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1441" w:type="dxa"/>
            <w:noWrap w:val="0"/>
            <w:vAlign w:val="center"/>
          </w:tcPr>
          <w:p>
            <w:pPr>
              <w:pStyle w:val="30"/>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解除合同情形</w:t>
            </w:r>
          </w:p>
        </w:tc>
        <w:tc>
          <w:tcPr>
            <w:tcW w:w="8536" w:type="dxa"/>
            <w:noWrap w:val="0"/>
            <w:vAlign w:val="center"/>
          </w:tcPr>
          <w:p>
            <w:pPr>
              <w:pStyle w:val="30"/>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400" w:lineRule="exact"/>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出现下列情形，采购人可单方解除合同：</w:t>
            </w:r>
          </w:p>
          <w:p>
            <w:pPr>
              <w:pStyle w:val="30"/>
              <w:keepNext w:val="0"/>
              <w:keepLines w:val="0"/>
              <w:pageBreakBefore w:val="0"/>
              <w:numPr>
                <w:ilvl w:val="0"/>
                <w:numId w:val="19"/>
              </w:numPr>
              <w:suppressLineNumbers w:val="0"/>
              <w:kinsoku/>
              <w:wordWrap/>
              <w:overflowPunct/>
              <w:topLinePunct w:val="0"/>
              <w:autoSpaceDE/>
              <w:autoSpaceDN/>
              <w:bidi w:val="0"/>
              <w:spacing w:before="0" w:beforeAutospacing="0" w:after="0" w:afterAutospacing="0" w:line="400" w:lineRule="exact"/>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lang w:val="en-US" w:eastAsia="zh-CN"/>
              </w:rPr>
              <w:t>要求对耗材进行涨价或无供应能力或分包给第三方或公司注销及重组。</w:t>
            </w:r>
          </w:p>
          <w:p>
            <w:pPr>
              <w:pStyle w:val="30"/>
              <w:keepNext w:val="0"/>
              <w:keepLines w:val="0"/>
              <w:pageBreakBefore w:val="0"/>
              <w:numPr>
                <w:ilvl w:val="0"/>
                <w:numId w:val="19"/>
              </w:numPr>
              <w:suppressLineNumbers w:val="0"/>
              <w:kinsoku/>
              <w:wordWrap/>
              <w:overflowPunct/>
              <w:topLinePunct w:val="0"/>
              <w:autoSpaceDE/>
              <w:autoSpaceDN/>
              <w:bidi w:val="0"/>
              <w:spacing w:before="0" w:beforeAutospacing="0" w:after="0" w:afterAutospacing="0" w:line="400" w:lineRule="exact"/>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成交供应商如出现一年内三次及以上不能按需供货（或单次超过下订单后1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天未发货）或者一年内出现三次产品质量问题的情况</w:t>
            </w:r>
            <w:r>
              <w:rPr>
                <w:rFonts w:hint="eastAsia" w:ascii="宋体" w:hAnsi="宋体" w:eastAsia="宋体" w:cs="宋体"/>
                <w:color w:val="auto"/>
                <w:sz w:val="24"/>
                <w:szCs w:val="24"/>
                <w:highlight w:val="none"/>
                <w:lang w:eastAsia="zh-CN"/>
              </w:rPr>
              <w:t>。</w:t>
            </w:r>
          </w:p>
          <w:p>
            <w:pPr>
              <w:pStyle w:val="30"/>
              <w:keepNext w:val="0"/>
              <w:keepLines w:val="0"/>
              <w:pageBreakBefore w:val="0"/>
              <w:numPr>
                <w:ilvl w:val="0"/>
                <w:numId w:val="19"/>
              </w:numPr>
              <w:suppressLineNumbers w:val="0"/>
              <w:kinsoku/>
              <w:wordWrap/>
              <w:overflowPunct/>
              <w:topLinePunct w:val="0"/>
              <w:autoSpaceDE/>
              <w:autoSpaceDN/>
              <w:bidi w:val="0"/>
              <w:spacing w:before="0" w:beforeAutospacing="0" w:after="0" w:afterAutospacing="0" w:line="400" w:lineRule="exact"/>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国家采购政策调整或有关部门要求解除合同或采购人停止开展医疗业务。</w:t>
            </w:r>
          </w:p>
          <w:p>
            <w:pPr>
              <w:pStyle w:val="30"/>
              <w:keepNext w:val="0"/>
              <w:keepLines w:val="0"/>
              <w:pageBreakBefore w:val="0"/>
              <w:numPr>
                <w:ilvl w:val="0"/>
                <w:numId w:val="19"/>
              </w:numPr>
              <w:suppressLineNumbers w:val="0"/>
              <w:kinsoku/>
              <w:wordWrap/>
              <w:overflowPunct/>
              <w:topLinePunct w:val="0"/>
              <w:autoSpaceDE/>
              <w:autoSpaceDN/>
              <w:bidi w:val="0"/>
              <w:spacing w:before="0" w:beforeAutospacing="0" w:after="0" w:afterAutospacing="0" w:line="400" w:lineRule="exact"/>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成交供应商</w:t>
            </w:r>
            <w:r>
              <w:rPr>
                <w:rFonts w:hint="eastAsia" w:ascii="宋体" w:hAnsi="宋体" w:eastAsia="宋体" w:cs="宋体"/>
                <w:color w:val="auto"/>
                <w:sz w:val="24"/>
                <w:szCs w:val="24"/>
                <w:highlight w:val="none"/>
                <w:lang w:val="en-US" w:eastAsia="zh-CN"/>
              </w:rPr>
              <w:t>未执行采购人耗材管理规定及招标文件约定的其他违约情形。</w:t>
            </w:r>
          </w:p>
          <w:p>
            <w:pPr>
              <w:pStyle w:val="30"/>
              <w:keepNext w:val="0"/>
              <w:keepLines w:val="0"/>
              <w:pageBreakBefore w:val="0"/>
              <w:numPr>
                <w:ilvl w:val="0"/>
                <w:numId w:val="19"/>
              </w:numPr>
              <w:suppressLineNumbers w:val="0"/>
              <w:kinsoku/>
              <w:wordWrap/>
              <w:overflowPunct/>
              <w:topLinePunct w:val="0"/>
              <w:autoSpaceDE/>
              <w:autoSpaceDN/>
              <w:bidi w:val="0"/>
              <w:spacing w:before="0" w:beforeAutospacing="0" w:after="0" w:afterAutospacing="0" w:line="400" w:lineRule="exact"/>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义齿返工率≥10%</w:t>
            </w:r>
          </w:p>
        </w:tc>
      </w:tr>
    </w:tbl>
    <w:p>
      <w:pPr>
        <w:pageBreakBefore w:val="0"/>
        <w:kinsoku/>
        <w:wordWrap/>
        <w:overflowPunct/>
        <w:topLinePunct w:val="0"/>
        <w:autoSpaceDE/>
        <w:autoSpaceDN/>
        <w:bidi w:val="0"/>
        <w:spacing w:line="500" w:lineRule="exact"/>
        <w:rPr>
          <w:rFonts w:hint="eastAsia" w:ascii="宋体" w:hAnsi="宋体" w:eastAsia="宋体" w:cs="宋体"/>
          <w:b/>
          <w:color w:val="auto"/>
          <w:sz w:val="24"/>
          <w:szCs w:val="24"/>
          <w:highlight w:val="none"/>
        </w:rPr>
      </w:pPr>
      <w:bookmarkStart w:id="120" w:name="_Toc6692"/>
      <w:bookmarkStart w:id="121" w:name="_Toc76462332"/>
      <w:bookmarkStart w:id="122" w:name="_Toc106030887"/>
    </w:p>
    <w:p>
      <w:pPr>
        <w:pStyle w:val="3"/>
        <w:pageBreakBefore w:val="0"/>
        <w:kinsoku/>
        <w:wordWrap/>
        <w:overflowPunct/>
        <w:topLinePunct w:val="0"/>
        <w:autoSpaceDE/>
        <w:autoSpaceDN/>
        <w:bidi w:val="0"/>
        <w:spacing w:before="200" w:after="200" w:line="500" w:lineRule="exact"/>
        <w:jc w:val="center"/>
        <w:rPr>
          <w:rFonts w:hint="eastAsia" w:ascii="方正小标宋_GBK" w:hAnsi="方正小标宋_GBK" w:eastAsia="方正小标宋_GBK" w:cs="方正小标宋_GBK"/>
          <w:b w:val="0"/>
          <w:bCs/>
          <w:color w:val="auto"/>
          <w:sz w:val="44"/>
          <w:szCs w:val="44"/>
          <w:highlight w:val="none"/>
        </w:rPr>
      </w:pPr>
      <w:bookmarkStart w:id="123" w:name="_Toc11990"/>
      <w:bookmarkStart w:id="124" w:name="_Toc641"/>
      <w:r>
        <w:rPr>
          <w:rFonts w:hint="eastAsia" w:ascii="方正小标宋_GBK" w:hAnsi="方正小标宋_GBK" w:eastAsia="方正小标宋_GBK" w:cs="方正小标宋_GBK"/>
          <w:b w:val="0"/>
          <w:bCs/>
          <w:color w:val="auto"/>
          <w:sz w:val="44"/>
          <w:szCs w:val="44"/>
          <w:highlight w:val="none"/>
        </w:rPr>
        <w:t xml:space="preserve">第四篇  </w:t>
      </w:r>
      <w:r>
        <w:rPr>
          <w:rFonts w:hint="eastAsia" w:ascii="方正小标宋_GBK" w:hAnsi="方正小标宋_GBK" w:eastAsia="方正小标宋_GBK" w:cs="方正小标宋_GBK"/>
          <w:b w:val="0"/>
          <w:bCs/>
          <w:color w:val="auto"/>
          <w:sz w:val="44"/>
          <w:szCs w:val="44"/>
          <w:highlight w:val="none"/>
          <w:lang w:val="en-US" w:eastAsia="zh-CN"/>
        </w:rPr>
        <w:t>遴选</w:t>
      </w:r>
      <w:r>
        <w:rPr>
          <w:rFonts w:hint="eastAsia" w:ascii="方正小标宋_GBK" w:hAnsi="方正小标宋_GBK" w:eastAsia="方正小标宋_GBK" w:cs="方正小标宋_GBK"/>
          <w:b w:val="0"/>
          <w:bCs/>
          <w:color w:val="auto"/>
          <w:sz w:val="44"/>
          <w:szCs w:val="44"/>
          <w:highlight w:val="none"/>
        </w:rPr>
        <w:t>程序及方法、评审标准、无效响应和采购终止</w:t>
      </w:r>
      <w:bookmarkEnd w:id="120"/>
      <w:bookmarkEnd w:id="121"/>
      <w:bookmarkEnd w:id="122"/>
      <w:bookmarkEnd w:id="123"/>
      <w:bookmarkEnd w:id="124"/>
    </w:p>
    <w:p>
      <w:pPr>
        <w:pStyle w:val="3"/>
        <w:pageBreakBefore w:val="0"/>
        <w:kinsoku/>
        <w:wordWrap/>
        <w:overflowPunct/>
        <w:topLinePunct w:val="0"/>
        <w:autoSpaceDE/>
        <w:autoSpaceDN/>
        <w:bidi w:val="0"/>
        <w:adjustRightInd w:val="0"/>
        <w:snapToGrid w:val="0"/>
        <w:spacing w:before="0" w:after="0" w:line="500" w:lineRule="exact"/>
        <w:ind w:firstLine="480" w:firstLineChars="200"/>
        <w:rPr>
          <w:rFonts w:hint="eastAsia" w:ascii="宋体" w:hAnsi="宋体" w:eastAsia="宋体" w:cs="宋体"/>
          <w:color w:val="auto"/>
          <w:sz w:val="24"/>
          <w:szCs w:val="24"/>
          <w:highlight w:val="none"/>
        </w:rPr>
      </w:pPr>
      <w:bookmarkStart w:id="125" w:name="_Toc76462333"/>
      <w:bookmarkStart w:id="126" w:name="_Toc12614"/>
      <w:bookmarkStart w:id="127" w:name="_Toc13485"/>
      <w:bookmarkStart w:id="128" w:name="_Toc106030888"/>
      <w:bookmarkStart w:id="129" w:name="_Toc14958"/>
      <w:r>
        <w:rPr>
          <w:rFonts w:hint="eastAsia" w:ascii="黑体" w:hAnsi="黑体" w:eastAsia="黑体" w:cs="黑体"/>
          <w:b w:val="0"/>
          <w:bCs/>
          <w:color w:val="auto"/>
          <w:sz w:val="24"/>
          <w:szCs w:val="24"/>
          <w:highlight w:val="none"/>
        </w:rPr>
        <w:t>一、</w:t>
      </w:r>
      <w:r>
        <w:rPr>
          <w:rFonts w:hint="eastAsia" w:ascii="黑体" w:hAnsi="黑体" w:eastAsia="黑体" w:cs="黑体"/>
          <w:b w:val="0"/>
          <w:bCs/>
          <w:color w:val="auto"/>
          <w:sz w:val="24"/>
          <w:szCs w:val="24"/>
          <w:highlight w:val="none"/>
          <w:lang w:val="en-US" w:eastAsia="zh-CN"/>
        </w:rPr>
        <w:t>遴选</w:t>
      </w:r>
      <w:r>
        <w:rPr>
          <w:rFonts w:hint="eastAsia" w:ascii="黑体" w:hAnsi="黑体" w:eastAsia="黑体" w:cs="黑体"/>
          <w:b w:val="0"/>
          <w:bCs/>
          <w:color w:val="auto"/>
          <w:sz w:val="24"/>
          <w:szCs w:val="24"/>
          <w:highlight w:val="none"/>
        </w:rPr>
        <w:t>程序</w:t>
      </w:r>
      <w:bookmarkEnd w:id="125"/>
      <w:bookmarkEnd w:id="126"/>
      <w:bookmarkEnd w:id="127"/>
      <w:bookmarkEnd w:id="128"/>
      <w:bookmarkEnd w:id="129"/>
    </w:p>
    <w:p>
      <w:pPr>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（一）按</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文件规定的时间和地点进行，</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须有法定代表人（或其授权代表）或自然人参加。</w:t>
      </w:r>
    </w:p>
    <w:p>
      <w:pPr>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评标</w:t>
      </w:r>
      <w:r>
        <w:rPr>
          <w:rFonts w:hint="eastAsia" w:ascii="宋体" w:hAnsi="宋体" w:eastAsia="宋体" w:cs="宋体"/>
          <w:color w:val="auto"/>
          <w:sz w:val="24"/>
          <w:szCs w:val="24"/>
          <w:highlight w:val="none"/>
        </w:rPr>
        <w:t>小组对各</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的资格条件进行审查。各</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只有在完全符合要求的前提下，才能参与正式</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w:t>
      </w:r>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依据法律法规和</w:t>
      </w:r>
      <w:r>
        <w:rPr>
          <w:rFonts w:hint="eastAsia" w:ascii="宋体" w:hAnsi="宋体" w:eastAsia="宋体" w:cs="宋体"/>
          <w:color w:val="auto"/>
          <w:kern w:val="0"/>
          <w:sz w:val="24"/>
          <w:szCs w:val="24"/>
          <w:highlight w:val="none"/>
          <w:lang w:val="en-US" w:eastAsia="zh-CN"/>
        </w:rPr>
        <w:t>遴选</w:t>
      </w:r>
      <w:r>
        <w:rPr>
          <w:rFonts w:hint="eastAsia" w:ascii="宋体" w:hAnsi="宋体" w:eastAsia="宋体" w:cs="宋体"/>
          <w:color w:val="auto"/>
          <w:kern w:val="0"/>
          <w:sz w:val="24"/>
          <w:szCs w:val="24"/>
          <w:highlight w:val="none"/>
        </w:rPr>
        <w:t>文件的规定，对响应文件中的资格证明等进行审查，以确定</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是否具备</w:t>
      </w:r>
      <w:r>
        <w:rPr>
          <w:rFonts w:hint="eastAsia" w:ascii="宋体" w:hAnsi="宋体" w:eastAsia="宋体" w:cs="宋体"/>
          <w:color w:val="auto"/>
          <w:kern w:val="0"/>
          <w:sz w:val="24"/>
          <w:szCs w:val="24"/>
          <w:highlight w:val="none"/>
          <w:lang w:val="en-US" w:eastAsia="zh-CN"/>
        </w:rPr>
        <w:t>遴选</w:t>
      </w:r>
      <w:r>
        <w:rPr>
          <w:rFonts w:hint="eastAsia" w:ascii="宋体" w:hAnsi="宋体" w:eastAsia="宋体" w:cs="宋体"/>
          <w:color w:val="auto"/>
          <w:kern w:val="0"/>
          <w:sz w:val="24"/>
          <w:szCs w:val="24"/>
          <w:highlight w:val="none"/>
        </w:rPr>
        <w:t>资格。资格性审查资料表如下：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8"/>
        <w:gridCol w:w="2969"/>
        <w:gridCol w:w="4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黑体" w:hAnsi="黑体" w:eastAsia="黑体" w:cs="黑体"/>
                <w:b w:val="0"/>
                <w:bCs/>
                <w:color w:val="auto"/>
                <w:kern w:val="0"/>
                <w:sz w:val="24"/>
                <w:szCs w:val="24"/>
                <w:highlight w:val="none"/>
              </w:rPr>
            </w:pPr>
            <w:r>
              <w:rPr>
                <w:rFonts w:hint="eastAsia" w:ascii="黑体" w:hAnsi="黑体" w:eastAsia="黑体" w:cs="黑体"/>
                <w:b w:val="0"/>
                <w:bCs/>
                <w:color w:val="auto"/>
                <w:kern w:val="0"/>
                <w:sz w:val="24"/>
                <w:szCs w:val="24"/>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黑体" w:hAnsi="黑体" w:eastAsia="黑体" w:cs="黑体"/>
                <w:b w:val="0"/>
                <w:bCs/>
                <w:color w:val="auto"/>
                <w:kern w:val="0"/>
                <w:sz w:val="24"/>
                <w:szCs w:val="24"/>
                <w:highlight w:val="none"/>
              </w:rPr>
            </w:pPr>
            <w:r>
              <w:rPr>
                <w:rFonts w:hint="eastAsia" w:ascii="黑体" w:hAnsi="黑体" w:eastAsia="黑体" w:cs="黑体"/>
                <w:b w:val="0"/>
                <w:bCs/>
                <w:color w:val="auto"/>
                <w:kern w:val="0"/>
                <w:sz w:val="24"/>
                <w:szCs w:val="24"/>
                <w:highlight w:val="none"/>
              </w:rPr>
              <w:t>检查因素</w:t>
            </w:r>
          </w:p>
        </w:tc>
        <w:tc>
          <w:tcPr>
            <w:tcW w:w="4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黑体" w:hAnsi="黑体" w:eastAsia="黑体" w:cs="黑体"/>
                <w:b w:val="0"/>
                <w:bCs/>
                <w:color w:val="auto"/>
                <w:kern w:val="0"/>
                <w:sz w:val="24"/>
                <w:szCs w:val="24"/>
                <w:highlight w:val="none"/>
              </w:rPr>
            </w:pPr>
            <w:r>
              <w:rPr>
                <w:rFonts w:hint="eastAsia" w:ascii="黑体" w:hAnsi="黑体" w:eastAsia="黑体" w:cs="黑体"/>
                <w:b w:val="0"/>
                <w:bCs/>
                <w:color w:val="auto"/>
                <w:kern w:val="0"/>
                <w:sz w:val="24"/>
                <w:szCs w:val="24"/>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p>
        </w:tc>
        <w:tc>
          <w:tcPr>
            <w:tcW w:w="858" w:type="dxa"/>
            <w:vMerge w:val="restar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《中华人民共和国政府采购法》第二十二条规定</w:t>
            </w:r>
          </w:p>
        </w:tc>
        <w:tc>
          <w:tcPr>
            <w:tcW w:w="2969"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tc>
        <w:tc>
          <w:tcPr>
            <w:tcW w:w="4984"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 xml:space="preserve">法人营业执照（副本）或事业单位法人证书（副本）或个体工商户营业执照或有效的自然人身份证明或社会团体法人登记证书（提供复印件）。 </w:t>
            </w:r>
          </w:p>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宋体" w:hAnsi="宋体" w:eastAsia="宋体" w:cs="宋体"/>
                <w:color w:val="auto"/>
                <w:sz w:val="24"/>
                <w:szCs w:val="24"/>
                <w:highlight w:val="none"/>
              </w:rPr>
            </w:pPr>
          </w:p>
        </w:tc>
        <w:tc>
          <w:tcPr>
            <w:tcW w:w="858" w:type="dxa"/>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rPr>
                <w:rFonts w:hint="eastAsia" w:ascii="宋体" w:hAnsi="宋体" w:eastAsia="宋体" w:cs="宋体"/>
                <w:color w:val="auto"/>
                <w:sz w:val="24"/>
                <w:szCs w:val="24"/>
                <w:highlight w:val="none"/>
                <w:lang w:val="zh-CN"/>
              </w:rPr>
            </w:pPr>
          </w:p>
        </w:tc>
        <w:tc>
          <w:tcPr>
            <w:tcW w:w="2969"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具有良好的商业信誉和健全的财务会计制度</w:t>
            </w:r>
          </w:p>
        </w:tc>
        <w:tc>
          <w:tcPr>
            <w:tcW w:w="4984" w:type="dxa"/>
            <w:vMerge w:val="restar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提供“基本资格条件承诺函”（格式详见第</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宋体" w:hAnsi="宋体" w:eastAsia="宋体" w:cs="宋体"/>
                <w:color w:val="auto"/>
                <w:sz w:val="24"/>
                <w:szCs w:val="24"/>
                <w:highlight w:val="none"/>
              </w:rPr>
            </w:pPr>
          </w:p>
        </w:tc>
        <w:tc>
          <w:tcPr>
            <w:tcW w:w="858" w:type="dxa"/>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rPr>
                <w:rFonts w:hint="eastAsia" w:ascii="宋体" w:hAnsi="宋体" w:eastAsia="宋体" w:cs="宋体"/>
                <w:color w:val="auto"/>
                <w:sz w:val="24"/>
                <w:szCs w:val="24"/>
                <w:highlight w:val="none"/>
                <w:lang w:val="zh-CN"/>
              </w:rPr>
            </w:pPr>
          </w:p>
        </w:tc>
        <w:tc>
          <w:tcPr>
            <w:tcW w:w="2969"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3.具有履行合同所必需的设备和专业技术能力</w:t>
            </w:r>
          </w:p>
        </w:tc>
        <w:tc>
          <w:tcPr>
            <w:tcW w:w="4984" w:type="dxa"/>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宋体" w:hAnsi="宋体" w:eastAsia="宋体" w:cs="宋体"/>
                <w:color w:val="auto"/>
                <w:sz w:val="24"/>
                <w:szCs w:val="24"/>
                <w:highlight w:val="none"/>
              </w:rPr>
            </w:pPr>
          </w:p>
        </w:tc>
        <w:tc>
          <w:tcPr>
            <w:tcW w:w="858" w:type="dxa"/>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rPr>
                <w:rFonts w:hint="eastAsia" w:ascii="宋体" w:hAnsi="宋体" w:eastAsia="宋体" w:cs="宋体"/>
                <w:color w:val="auto"/>
                <w:sz w:val="24"/>
                <w:szCs w:val="24"/>
                <w:highlight w:val="none"/>
                <w:lang w:val="zh-CN"/>
              </w:rPr>
            </w:pPr>
          </w:p>
        </w:tc>
        <w:tc>
          <w:tcPr>
            <w:tcW w:w="2969"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4.有依法缴纳税收和社会保障金的良好记录</w:t>
            </w:r>
          </w:p>
        </w:tc>
        <w:tc>
          <w:tcPr>
            <w:tcW w:w="4984" w:type="dxa"/>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宋体" w:hAnsi="宋体" w:eastAsia="宋体" w:cs="宋体"/>
                <w:color w:val="auto"/>
                <w:sz w:val="24"/>
                <w:szCs w:val="24"/>
                <w:highlight w:val="none"/>
              </w:rPr>
            </w:pPr>
          </w:p>
        </w:tc>
        <w:tc>
          <w:tcPr>
            <w:tcW w:w="858" w:type="dxa"/>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rPr>
                <w:rFonts w:hint="eastAsia" w:ascii="宋体" w:hAnsi="宋体" w:eastAsia="宋体" w:cs="宋体"/>
                <w:color w:val="auto"/>
                <w:sz w:val="24"/>
                <w:szCs w:val="24"/>
                <w:highlight w:val="none"/>
                <w:lang w:val="zh-CN"/>
              </w:rPr>
            </w:pPr>
          </w:p>
        </w:tc>
        <w:tc>
          <w:tcPr>
            <w:tcW w:w="2969"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5.参加政府采购活动前三年内，在经营活动中没有重大违法记录</w:t>
            </w:r>
          </w:p>
        </w:tc>
        <w:tc>
          <w:tcPr>
            <w:tcW w:w="4984" w:type="dxa"/>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宋体" w:hAnsi="宋体" w:eastAsia="宋体" w:cs="宋体"/>
                <w:color w:val="auto"/>
                <w:sz w:val="24"/>
                <w:szCs w:val="24"/>
                <w:highlight w:val="none"/>
              </w:rPr>
            </w:pPr>
          </w:p>
        </w:tc>
        <w:tc>
          <w:tcPr>
            <w:tcW w:w="858" w:type="dxa"/>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rPr>
                <w:rFonts w:hint="eastAsia" w:ascii="宋体" w:hAnsi="宋体" w:eastAsia="宋体" w:cs="宋体"/>
                <w:color w:val="auto"/>
                <w:sz w:val="24"/>
                <w:szCs w:val="24"/>
                <w:highlight w:val="none"/>
              </w:rPr>
            </w:pPr>
          </w:p>
        </w:tc>
        <w:tc>
          <w:tcPr>
            <w:tcW w:w="2969"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tc>
        <w:tc>
          <w:tcPr>
            <w:tcW w:w="4984"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宋体" w:hAnsi="宋体" w:eastAsia="宋体" w:cs="宋体"/>
                <w:color w:val="auto"/>
                <w:sz w:val="24"/>
                <w:szCs w:val="24"/>
                <w:highlight w:val="none"/>
              </w:rPr>
            </w:pPr>
          </w:p>
        </w:tc>
        <w:tc>
          <w:tcPr>
            <w:tcW w:w="858" w:type="dxa"/>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rPr>
                <w:rFonts w:hint="eastAsia" w:ascii="宋体" w:hAnsi="宋体" w:eastAsia="宋体" w:cs="宋体"/>
                <w:color w:val="auto"/>
                <w:sz w:val="24"/>
                <w:szCs w:val="24"/>
                <w:highlight w:val="none"/>
              </w:rPr>
            </w:pPr>
          </w:p>
        </w:tc>
        <w:tc>
          <w:tcPr>
            <w:tcW w:w="2969"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7.本项目的特定资格要求</w:t>
            </w:r>
          </w:p>
        </w:tc>
        <w:tc>
          <w:tcPr>
            <w:tcW w:w="4984"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按“第一篇三、</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资格要求（</w:t>
            </w:r>
            <w:r>
              <w:rPr>
                <w:rFonts w:hint="eastAsia" w:ascii="宋体" w:hAnsi="宋体" w:cs="宋体"/>
                <w:color w:val="auto"/>
                <w:sz w:val="24"/>
                <w:szCs w:val="24"/>
                <w:highlight w:val="none"/>
                <w:lang w:eastAsia="zh-CN"/>
              </w:rPr>
              <w:t>二</w:t>
            </w:r>
            <w:r>
              <w:rPr>
                <w:rFonts w:hint="eastAsia" w:ascii="宋体" w:hAnsi="宋体" w:eastAsia="宋体" w:cs="宋体"/>
                <w:color w:val="auto"/>
                <w:sz w:val="24"/>
                <w:szCs w:val="24"/>
                <w:highlight w:val="none"/>
              </w:rPr>
              <w:t>）本项目的特定资格要求”的要求提交（如果有）。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noWrap w:val="0"/>
            <w:vAlign w:val="top"/>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w:t>
            </w:r>
          </w:p>
        </w:tc>
        <w:tc>
          <w:tcPr>
            <w:tcW w:w="858" w:type="dxa"/>
            <w:noWrap w:val="0"/>
            <w:vAlign w:val="top"/>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保证金</w:t>
            </w:r>
          </w:p>
        </w:tc>
        <w:tc>
          <w:tcPr>
            <w:tcW w:w="2969" w:type="dxa"/>
            <w:noWrap w:val="0"/>
            <w:vAlign w:val="top"/>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rPr>
                <w:rFonts w:hint="eastAsia" w:ascii="宋体" w:hAnsi="宋体" w:eastAsia="宋体" w:cs="宋体"/>
                <w:color w:val="auto"/>
                <w:sz w:val="24"/>
                <w:szCs w:val="24"/>
                <w:highlight w:val="none"/>
              </w:rPr>
            </w:pPr>
          </w:p>
        </w:tc>
        <w:tc>
          <w:tcPr>
            <w:tcW w:w="4984" w:type="dxa"/>
            <w:noWrap w:val="0"/>
            <w:vAlign w:val="top"/>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文件要求足额交纳保证金。</w:t>
            </w:r>
          </w:p>
        </w:tc>
      </w:tr>
    </w:tbl>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注：根据《中华人民共和国政府采购法实施条例》第十九条“参加政府采购活动前三年内，在经营活动中没有重大违法记录”中“重大违法记录”，是指</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可于响应文件递交截止时间前通过 “信用中国”网站(www.creditchina.gov.cn)、"中国政府采购网"(www.ccgp.gov.cn)等渠道查询信用记录。</w:t>
      </w:r>
    </w:p>
    <w:p>
      <w:pPr>
        <w:pStyle w:val="3"/>
        <w:pageBreakBefore w:val="0"/>
        <w:kinsoku/>
        <w:wordWrap/>
        <w:overflowPunct/>
        <w:topLinePunct w:val="0"/>
        <w:autoSpaceDE/>
        <w:autoSpaceDN/>
        <w:bidi w:val="0"/>
        <w:adjustRightInd w:val="0"/>
        <w:snapToGrid w:val="0"/>
        <w:spacing w:before="0" w:after="0" w:line="500" w:lineRule="exact"/>
        <w:ind w:firstLine="480" w:firstLineChars="200"/>
        <w:rPr>
          <w:rFonts w:hint="eastAsia" w:ascii="黑体" w:hAnsi="黑体" w:eastAsia="黑体" w:cs="黑体"/>
          <w:b w:val="0"/>
          <w:bCs/>
          <w:color w:val="auto"/>
          <w:sz w:val="24"/>
          <w:szCs w:val="24"/>
          <w:highlight w:val="none"/>
        </w:rPr>
      </w:pPr>
      <w:bookmarkStart w:id="130" w:name="_Toc25824"/>
      <w:bookmarkStart w:id="131" w:name="_Toc29068"/>
      <w:r>
        <w:rPr>
          <w:rFonts w:hint="eastAsia" w:ascii="黑体" w:hAnsi="黑体" w:eastAsia="黑体" w:cs="黑体"/>
          <w:b w:val="0"/>
          <w:bCs/>
          <w:color w:val="auto"/>
          <w:sz w:val="24"/>
          <w:szCs w:val="24"/>
          <w:highlight w:val="none"/>
          <w:lang w:val="en-US" w:eastAsia="zh-CN"/>
        </w:rPr>
        <w:t>二、评标方法</w:t>
      </w:r>
      <w:bookmarkEnd w:id="130"/>
      <w:bookmarkEnd w:id="131"/>
    </w:p>
    <w:p>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strike w:val="0"/>
          <w:dstrike w:val="0"/>
          <w:color w:val="auto"/>
          <w:kern w:val="0"/>
          <w:sz w:val="24"/>
          <w:szCs w:val="24"/>
          <w:highlight w:val="none"/>
        </w:rPr>
        <w:t>本项目采用</w:t>
      </w:r>
      <w:r>
        <w:rPr>
          <w:rFonts w:hint="eastAsia" w:ascii="宋体" w:hAnsi="宋体" w:eastAsia="宋体" w:cs="宋体"/>
          <w:strike w:val="0"/>
          <w:dstrike w:val="0"/>
          <w:color w:val="auto"/>
          <w:kern w:val="0"/>
          <w:sz w:val="24"/>
          <w:szCs w:val="24"/>
          <w:highlight w:val="none"/>
          <w:lang w:val="en-US" w:eastAsia="zh-CN"/>
        </w:rPr>
        <w:t>遴选方式</w:t>
      </w:r>
      <w:r>
        <w:rPr>
          <w:rFonts w:hint="eastAsia" w:ascii="宋体" w:hAnsi="宋体" w:eastAsia="宋体" w:cs="宋体"/>
          <w:strike w:val="0"/>
          <w:dstrike w:val="0"/>
          <w:color w:val="auto"/>
          <w:kern w:val="0"/>
          <w:sz w:val="24"/>
          <w:szCs w:val="24"/>
          <w:highlight w:val="none"/>
        </w:rPr>
        <w:t>进行评标。</w:t>
      </w:r>
    </w:p>
    <w:p>
      <w:pPr>
        <w:pStyle w:val="3"/>
        <w:pageBreakBefore w:val="0"/>
        <w:numPr>
          <w:ilvl w:val="0"/>
          <w:numId w:val="0"/>
        </w:numPr>
        <w:kinsoku/>
        <w:wordWrap/>
        <w:overflowPunct/>
        <w:topLinePunct w:val="0"/>
        <w:autoSpaceDE/>
        <w:autoSpaceDN/>
        <w:bidi w:val="0"/>
        <w:adjustRightInd w:val="0"/>
        <w:snapToGrid w:val="0"/>
        <w:spacing w:before="0" w:after="0" w:line="500" w:lineRule="exact"/>
        <w:ind w:firstLine="480" w:firstLineChars="200"/>
        <w:rPr>
          <w:rFonts w:hint="eastAsia" w:ascii="黑体" w:hAnsi="黑体" w:eastAsia="黑体" w:cs="黑体"/>
          <w:b w:val="0"/>
          <w:bCs/>
          <w:color w:val="auto"/>
          <w:sz w:val="24"/>
          <w:szCs w:val="24"/>
          <w:highlight w:val="none"/>
          <w:lang w:val="en-US" w:eastAsia="zh-CN"/>
        </w:rPr>
      </w:pPr>
      <w:bookmarkStart w:id="132" w:name="_Toc1389"/>
      <w:bookmarkStart w:id="133" w:name="_Toc76462334"/>
      <w:bookmarkStart w:id="134" w:name="_Toc18577"/>
      <w:bookmarkStart w:id="135" w:name="_Toc106030889"/>
      <w:bookmarkStart w:id="136" w:name="_Toc30944"/>
      <w:bookmarkStart w:id="137" w:name="_Toc342913394"/>
      <w:bookmarkStart w:id="138" w:name="_Toc102227320"/>
      <w:r>
        <w:rPr>
          <w:rFonts w:hint="eastAsia" w:ascii="黑体" w:hAnsi="黑体" w:eastAsia="黑体" w:cs="黑体"/>
          <w:b w:val="0"/>
          <w:bCs/>
          <w:color w:val="auto"/>
          <w:sz w:val="24"/>
          <w:szCs w:val="24"/>
          <w:highlight w:val="none"/>
          <w:lang w:val="en-US" w:eastAsia="zh-CN"/>
        </w:rPr>
        <w:t>三、遴选步骤</w:t>
      </w:r>
      <w:bookmarkEnd w:id="132"/>
    </w:p>
    <w:p>
      <w:pPr>
        <w:pStyle w:val="18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（一）结合品牌、覆盖率及样品、价格进行综合比较，总价从低到高遴选3名供应商入围（不超过单价限价）； </w:t>
      </w:r>
    </w:p>
    <w:p>
      <w:pPr>
        <w:pStyle w:val="18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（二）入围供应商进行价格谈判，</w:t>
      </w:r>
      <w:r>
        <w:rPr>
          <w:rFonts w:hint="eastAsia" w:ascii="宋体" w:hAnsi="宋体" w:eastAsia="宋体" w:cs="宋体"/>
          <w:b w:val="0"/>
          <w:bCs/>
          <w:color w:val="auto"/>
          <w:sz w:val="24"/>
          <w:szCs w:val="24"/>
          <w:highlight w:val="none"/>
        </w:rPr>
        <w:t>由被授权代表签订最终</w:t>
      </w:r>
      <w:r>
        <w:rPr>
          <w:rFonts w:hint="eastAsia" w:ascii="宋体" w:hAnsi="宋体" w:eastAsia="宋体" w:cs="宋体"/>
          <w:b w:val="0"/>
          <w:bCs/>
          <w:color w:val="auto"/>
          <w:sz w:val="24"/>
          <w:szCs w:val="24"/>
          <w:highlight w:val="none"/>
          <w:lang w:val="en-US" w:eastAsia="zh-CN"/>
        </w:rPr>
        <w:t>投标总</w:t>
      </w:r>
      <w:r>
        <w:rPr>
          <w:rFonts w:hint="eastAsia" w:ascii="宋体" w:hAnsi="宋体" w:eastAsia="宋体" w:cs="宋体"/>
          <w:b w:val="0"/>
          <w:bCs/>
          <w:color w:val="auto"/>
          <w:sz w:val="24"/>
          <w:szCs w:val="24"/>
          <w:highlight w:val="none"/>
        </w:rPr>
        <w:t>价</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供应商的第二次报价不能高于本公司的第一次报价，成交单价按成交总价同比例下浮），最终确定2名供应商。</w:t>
      </w:r>
      <w:bookmarkEnd w:id="133"/>
      <w:bookmarkEnd w:id="134"/>
      <w:bookmarkEnd w:id="135"/>
      <w:bookmarkEnd w:id="136"/>
      <w:bookmarkStart w:id="139" w:name="_Toc31497"/>
      <w:bookmarkStart w:id="140" w:name="_Toc76462335"/>
      <w:bookmarkStart w:id="141" w:name="_Toc106030890"/>
      <w:bookmarkStart w:id="142" w:name="_Toc10063"/>
    </w:p>
    <w:p>
      <w:pPr>
        <w:pStyle w:val="3"/>
        <w:pageBreakBefore w:val="0"/>
        <w:numPr>
          <w:ilvl w:val="0"/>
          <w:numId w:val="0"/>
        </w:numPr>
        <w:kinsoku/>
        <w:wordWrap/>
        <w:overflowPunct/>
        <w:topLinePunct w:val="0"/>
        <w:autoSpaceDE/>
        <w:autoSpaceDN/>
        <w:bidi w:val="0"/>
        <w:adjustRightInd w:val="0"/>
        <w:snapToGrid w:val="0"/>
        <w:spacing w:before="0" w:after="0" w:line="500" w:lineRule="exact"/>
        <w:ind w:firstLine="480" w:firstLineChars="200"/>
        <w:rPr>
          <w:rFonts w:hint="eastAsia" w:ascii="黑体" w:hAnsi="黑体" w:eastAsia="黑体" w:cs="黑体"/>
          <w:b w:val="0"/>
          <w:bCs/>
          <w:color w:val="auto"/>
          <w:sz w:val="24"/>
          <w:szCs w:val="24"/>
          <w:highlight w:val="none"/>
          <w:lang w:val="en-US" w:eastAsia="zh-CN"/>
        </w:rPr>
      </w:pPr>
      <w:bookmarkStart w:id="143" w:name="_Toc2400"/>
      <w:r>
        <w:rPr>
          <w:rFonts w:hint="eastAsia" w:ascii="黑体" w:hAnsi="黑体" w:eastAsia="黑体" w:cs="黑体"/>
          <w:b w:val="0"/>
          <w:bCs/>
          <w:color w:val="auto"/>
          <w:sz w:val="24"/>
          <w:szCs w:val="24"/>
          <w:highlight w:val="none"/>
          <w:lang w:val="en-US" w:eastAsia="zh-CN"/>
        </w:rPr>
        <w:t>四、无效响应</w:t>
      </w:r>
      <w:bookmarkEnd w:id="139"/>
      <w:bookmarkEnd w:id="140"/>
      <w:bookmarkEnd w:id="141"/>
      <w:bookmarkEnd w:id="142"/>
      <w:bookmarkEnd w:id="143"/>
    </w:p>
    <w:p>
      <w:pPr>
        <w:pageBreakBefore w:val="0"/>
        <w:kinsoku/>
        <w:wordWrap/>
        <w:overflowPunct/>
        <w:topLinePunct w:val="0"/>
        <w:autoSpaceDE/>
        <w:autoSpaceDN/>
        <w:bidi w:val="0"/>
        <w:snapToGrid w:val="0"/>
        <w:spacing w:line="5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发生以下条款情况之一者，视为无效响应，其响应文件将被拒绝：</w:t>
      </w:r>
    </w:p>
    <w:p>
      <w:pPr>
        <w:pageBreakBefore w:val="0"/>
        <w:kinsoku/>
        <w:wordWrap/>
        <w:overflowPunct/>
        <w:topLinePunct w:val="0"/>
        <w:autoSpaceDE/>
        <w:autoSpaceDN/>
        <w:bidi w:val="0"/>
        <w:snapToGrid w:val="0"/>
        <w:spacing w:line="5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不符合规定的资格条件的；</w:t>
      </w:r>
    </w:p>
    <w:p>
      <w:pPr>
        <w:pageBreakBefore w:val="0"/>
        <w:kinsoku/>
        <w:wordWrap/>
        <w:overflowPunct/>
        <w:topLinePunct w:val="0"/>
        <w:autoSpaceDE/>
        <w:autoSpaceDN/>
        <w:bidi w:val="0"/>
        <w:snapToGrid w:val="0"/>
        <w:spacing w:line="5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的法定代表人（或其授权代表）或自然人未参加</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w:t>
      </w:r>
    </w:p>
    <w:p>
      <w:pPr>
        <w:pageBreakBefore w:val="0"/>
        <w:kinsoku/>
        <w:wordWrap/>
        <w:overflowPunct/>
        <w:topLinePunct w:val="0"/>
        <w:autoSpaceDE/>
        <w:autoSpaceDN/>
        <w:bidi w:val="0"/>
        <w:snapToGrid w:val="0"/>
        <w:spacing w:line="5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所提交的响应文件不按“第</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篇响应文件编制要求”要求签署或盖章；</w:t>
      </w:r>
    </w:p>
    <w:p>
      <w:pPr>
        <w:pageBreakBefore w:val="0"/>
        <w:kinsoku/>
        <w:wordWrap/>
        <w:overflowPunct/>
        <w:topLinePunct w:val="0"/>
        <w:autoSpaceDE/>
        <w:autoSpaceDN/>
        <w:bidi w:val="0"/>
        <w:snapToGrid w:val="0"/>
        <w:spacing w:line="5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的最后报价超过采购预算或最高限价的；</w:t>
      </w:r>
    </w:p>
    <w:p>
      <w:pPr>
        <w:pageBreakBefore w:val="0"/>
        <w:kinsoku/>
        <w:wordWrap/>
        <w:overflowPunct/>
        <w:topLinePunct w:val="0"/>
        <w:autoSpaceDE/>
        <w:autoSpaceDN/>
        <w:bidi w:val="0"/>
        <w:snapToGrid w:val="0"/>
        <w:spacing w:line="5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（五）法定代表人为同一个人的两个及两个以上法人，母公司、全资子公司及其控股公司，在同一包采购中同时参与</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w:t>
      </w:r>
    </w:p>
    <w:p>
      <w:pPr>
        <w:pageBreakBefore w:val="0"/>
        <w:kinsoku/>
        <w:wordWrap/>
        <w:overflowPunct/>
        <w:topLinePunct w:val="0"/>
        <w:autoSpaceDE/>
        <w:autoSpaceDN/>
        <w:bidi w:val="0"/>
        <w:snapToGrid w:val="0"/>
        <w:spacing w:line="5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（六）单位负责人为同一人或者存在直接控股、管理关系的不同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，参加同一合同项下的采购活动的；</w:t>
      </w:r>
    </w:p>
    <w:p>
      <w:pPr>
        <w:pageBreakBefore w:val="0"/>
        <w:kinsoku/>
        <w:wordWrap/>
        <w:overflowPunct/>
        <w:topLinePunct w:val="0"/>
        <w:autoSpaceDE/>
        <w:autoSpaceDN/>
        <w:bidi w:val="0"/>
        <w:snapToGrid w:val="0"/>
        <w:spacing w:line="5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（七）为采购项目提供整体设计、规范编制或者项目管理、监理、检测等服务的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，再参加该采购项目的其他采购活动；</w:t>
      </w:r>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w:t>
      </w:r>
      <w:r>
        <w:rPr>
          <w:rFonts w:hint="eastAsia" w:ascii="宋体" w:hAnsi="宋体" w:eastAsia="宋体" w:cs="宋体"/>
          <w:color w:val="auto"/>
          <w:sz w:val="24"/>
          <w:szCs w:val="24"/>
          <w:highlight w:val="none"/>
          <w:lang w:eastAsia="zh-CN"/>
        </w:rPr>
        <w:t>投标人</w:t>
      </w:r>
      <w:r>
        <w:rPr>
          <w:rFonts w:hint="eastAsia" w:ascii="宋体" w:hAnsi="宋体" w:cs="宋体"/>
          <w:color w:val="auto"/>
          <w:sz w:val="24"/>
          <w:szCs w:val="24"/>
          <w:highlight w:val="none"/>
          <w:lang w:eastAsia="zh-CN"/>
        </w:rPr>
        <w:t>遴选</w:t>
      </w:r>
      <w:r>
        <w:rPr>
          <w:rFonts w:hint="eastAsia" w:ascii="宋体" w:hAnsi="宋体" w:eastAsia="宋体" w:cs="宋体"/>
          <w:color w:val="auto"/>
          <w:sz w:val="24"/>
          <w:szCs w:val="24"/>
          <w:highlight w:val="none"/>
        </w:rPr>
        <w:t>有效期不满足</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文件要求的；</w:t>
      </w:r>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响应文件内容有与国家现行法律法规相违背的内容，或附有采购人无法接受的条件；</w:t>
      </w:r>
    </w:p>
    <w:p>
      <w:pPr>
        <w:pageBreakBefore w:val="0"/>
        <w:kinsoku/>
        <w:wordWrap/>
        <w:overflowPunct/>
        <w:topLinePunct w:val="0"/>
        <w:autoSpaceDE/>
        <w:autoSpaceDN/>
        <w:bidi w:val="0"/>
        <w:snapToGrid w:val="0"/>
        <w:spacing w:line="5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（十）法律、法规和</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文件规定的其他无效情形。</w:t>
      </w:r>
    </w:p>
    <w:p>
      <w:pPr>
        <w:pStyle w:val="3"/>
        <w:pageBreakBefore w:val="0"/>
        <w:kinsoku/>
        <w:wordWrap/>
        <w:overflowPunct/>
        <w:topLinePunct w:val="0"/>
        <w:autoSpaceDE/>
        <w:autoSpaceDN/>
        <w:bidi w:val="0"/>
        <w:adjustRightInd w:val="0"/>
        <w:snapToGrid w:val="0"/>
        <w:spacing w:before="0" w:after="0" w:line="500" w:lineRule="exact"/>
        <w:ind w:firstLine="480" w:firstLineChars="200"/>
        <w:rPr>
          <w:rFonts w:hint="eastAsia" w:ascii="黑体" w:hAnsi="黑体" w:eastAsia="黑体" w:cs="黑体"/>
          <w:b w:val="0"/>
          <w:bCs/>
          <w:color w:val="auto"/>
          <w:sz w:val="24"/>
          <w:szCs w:val="24"/>
          <w:highlight w:val="none"/>
        </w:rPr>
      </w:pPr>
      <w:bookmarkStart w:id="144" w:name="_Toc10687"/>
      <w:bookmarkStart w:id="145" w:name="_Toc106030891"/>
      <w:bookmarkStart w:id="146" w:name="_Toc31119"/>
      <w:bookmarkStart w:id="147" w:name="_Toc76462336"/>
      <w:bookmarkStart w:id="148" w:name="_Toc17847"/>
      <w:r>
        <w:rPr>
          <w:rFonts w:hint="eastAsia" w:ascii="黑体" w:hAnsi="黑体" w:eastAsia="黑体" w:cs="黑体"/>
          <w:b w:val="0"/>
          <w:bCs/>
          <w:color w:val="auto"/>
          <w:sz w:val="24"/>
          <w:szCs w:val="24"/>
          <w:highlight w:val="none"/>
          <w:lang w:val="en-US" w:eastAsia="zh-CN"/>
        </w:rPr>
        <w:t>五</w:t>
      </w:r>
      <w:r>
        <w:rPr>
          <w:rFonts w:hint="eastAsia" w:ascii="黑体" w:hAnsi="黑体" w:eastAsia="黑体" w:cs="黑体"/>
          <w:b w:val="0"/>
          <w:bCs/>
          <w:color w:val="auto"/>
          <w:sz w:val="24"/>
          <w:szCs w:val="24"/>
          <w:highlight w:val="none"/>
        </w:rPr>
        <w:t>、</w:t>
      </w:r>
      <w:bookmarkEnd w:id="137"/>
      <w:bookmarkEnd w:id="138"/>
      <w:r>
        <w:rPr>
          <w:rFonts w:hint="eastAsia" w:ascii="黑体" w:hAnsi="黑体" w:eastAsia="黑体" w:cs="黑体"/>
          <w:b w:val="0"/>
          <w:bCs/>
          <w:color w:val="auto"/>
          <w:sz w:val="24"/>
          <w:szCs w:val="24"/>
          <w:highlight w:val="none"/>
        </w:rPr>
        <w:t>采购终止</w:t>
      </w:r>
      <w:bookmarkEnd w:id="144"/>
      <w:bookmarkEnd w:id="145"/>
      <w:bookmarkEnd w:id="146"/>
      <w:bookmarkEnd w:id="147"/>
      <w:bookmarkEnd w:id="148"/>
    </w:p>
    <w:p>
      <w:pPr>
        <w:pageBreakBefore w:val="0"/>
        <w:kinsoku/>
        <w:wordWrap/>
        <w:overflowPunct/>
        <w:topLinePunct w:val="0"/>
        <w:autoSpaceDE/>
        <w:autoSpaceDN/>
        <w:bidi w:val="0"/>
        <w:snapToGrid w:val="0"/>
        <w:spacing w:line="5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出现下列情形之一的，采购人应当终止</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采购活动，发布项目终止公告并说明原因，重新开展采购活动：</w:t>
      </w:r>
    </w:p>
    <w:p>
      <w:pPr>
        <w:pageBreakBefore w:val="0"/>
        <w:kinsoku/>
        <w:wordWrap/>
        <w:overflowPunct/>
        <w:topLinePunct w:val="0"/>
        <w:autoSpaceDE/>
        <w:autoSpaceDN/>
        <w:bidi w:val="0"/>
        <w:snapToGrid w:val="0"/>
        <w:spacing w:line="5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采购方式适用情形的；</w:t>
      </w:r>
    </w:p>
    <w:p>
      <w:pPr>
        <w:pageBreakBefore w:val="0"/>
        <w:kinsoku/>
        <w:wordWrap/>
        <w:overflowPunct/>
        <w:topLinePunct w:val="0"/>
        <w:autoSpaceDE/>
        <w:autoSpaceDN/>
        <w:bidi w:val="0"/>
        <w:snapToGrid w:val="0"/>
        <w:spacing w:line="5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pPr>
        <w:pageBreakBefore w:val="0"/>
        <w:kinsoku/>
        <w:wordWrap/>
        <w:overflowPunct/>
        <w:topLinePunct w:val="0"/>
        <w:autoSpaceDE/>
        <w:autoSpaceDN/>
        <w:bidi w:val="0"/>
        <w:snapToGrid w:val="0"/>
        <w:spacing w:line="500" w:lineRule="exact"/>
        <w:ind w:firstLine="46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采购任务变更或取消的。</w:t>
      </w:r>
    </w:p>
    <w:p>
      <w:pPr>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sectPr>
          <w:footerReference r:id="rId10" w:type="default"/>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12" w:charSpace="0"/>
        </w:sectPr>
      </w:pPr>
    </w:p>
    <w:p>
      <w:pPr>
        <w:pStyle w:val="3"/>
        <w:pageBreakBefore w:val="0"/>
        <w:kinsoku/>
        <w:wordWrap/>
        <w:overflowPunct/>
        <w:topLinePunct w:val="0"/>
        <w:autoSpaceDE/>
        <w:autoSpaceDN/>
        <w:bidi w:val="0"/>
        <w:spacing w:before="200" w:after="200" w:line="500" w:lineRule="exact"/>
        <w:jc w:val="center"/>
        <w:rPr>
          <w:rFonts w:hint="eastAsia" w:ascii="方正小标宋_GBK" w:hAnsi="方正小标宋_GBK" w:eastAsia="方正小标宋_GBK" w:cs="方正小标宋_GBK"/>
          <w:b w:val="0"/>
          <w:bCs/>
          <w:color w:val="auto"/>
          <w:sz w:val="44"/>
          <w:szCs w:val="44"/>
          <w:highlight w:val="none"/>
        </w:rPr>
      </w:pPr>
      <w:bookmarkStart w:id="149" w:name="_Toc21396"/>
      <w:bookmarkStart w:id="150" w:name="_Toc25423"/>
      <w:bookmarkStart w:id="151" w:name="_Toc106030892"/>
      <w:bookmarkStart w:id="152" w:name="_Toc76462337"/>
      <w:bookmarkStart w:id="153" w:name="_Toc29948"/>
      <w:bookmarkStart w:id="154" w:name="_Toc102227313"/>
      <w:r>
        <w:rPr>
          <w:rFonts w:hint="eastAsia" w:ascii="方正小标宋_GBK" w:hAnsi="方正小标宋_GBK" w:eastAsia="方正小标宋_GBK" w:cs="方正小标宋_GBK"/>
          <w:b w:val="0"/>
          <w:bCs/>
          <w:color w:val="auto"/>
          <w:sz w:val="44"/>
          <w:szCs w:val="44"/>
          <w:highlight w:val="none"/>
        </w:rPr>
        <w:t xml:space="preserve">第五篇  </w:t>
      </w:r>
      <w:r>
        <w:rPr>
          <w:rFonts w:hint="eastAsia" w:ascii="方正小标宋_GBK" w:hAnsi="方正小标宋_GBK" w:eastAsia="方正小标宋_GBK" w:cs="方正小标宋_GBK"/>
          <w:b w:val="0"/>
          <w:bCs/>
          <w:color w:val="auto"/>
          <w:sz w:val="44"/>
          <w:szCs w:val="44"/>
          <w:highlight w:val="none"/>
          <w:lang w:eastAsia="zh-CN"/>
        </w:rPr>
        <w:t>供应商</w:t>
      </w:r>
      <w:r>
        <w:rPr>
          <w:rFonts w:hint="eastAsia" w:ascii="方正小标宋_GBK" w:hAnsi="方正小标宋_GBK" w:eastAsia="方正小标宋_GBK" w:cs="方正小标宋_GBK"/>
          <w:b w:val="0"/>
          <w:bCs/>
          <w:color w:val="auto"/>
          <w:sz w:val="44"/>
          <w:szCs w:val="44"/>
          <w:highlight w:val="none"/>
        </w:rPr>
        <w:t>须知</w:t>
      </w:r>
      <w:bookmarkEnd w:id="149"/>
      <w:bookmarkEnd w:id="150"/>
      <w:bookmarkEnd w:id="151"/>
      <w:bookmarkEnd w:id="152"/>
      <w:bookmarkEnd w:id="153"/>
      <w:bookmarkEnd w:id="154"/>
    </w:p>
    <w:p>
      <w:pPr>
        <w:pStyle w:val="3"/>
        <w:pageBreakBefore w:val="0"/>
        <w:kinsoku/>
        <w:wordWrap/>
        <w:overflowPunct/>
        <w:topLinePunct w:val="0"/>
        <w:autoSpaceDE/>
        <w:autoSpaceDN/>
        <w:bidi w:val="0"/>
        <w:adjustRightInd w:val="0"/>
        <w:snapToGrid w:val="0"/>
        <w:spacing w:before="0" w:after="0" w:line="500" w:lineRule="exact"/>
        <w:ind w:firstLine="480" w:firstLineChars="200"/>
        <w:rPr>
          <w:rFonts w:hint="eastAsia" w:ascii="黑体" w:hAnsi="黑体" w:eastAsia="黑体" w:cs="黑体"/>
          <w:b w:val="0"/>
          <w:bCs/>
          <w:color w:val="auto"/>
          <w:sz w:val="24"/>
          <w:szCs w:val="24"/>
          <w:highlight w:val="none"/>
        </w:rPr>
      </w:pPr>
      <w:bookmarkStart w:id="155" w:name="_Toc106030893"/>
      <w:bookmarkStart w:id="156" w:name="_Toc16041"/>
      <w:bookmarkStart w:id="157" w:name="_Toc26717"/>
      <w:bookmarkStart w:id="158" w:name="_Toc76462338"/>
      <w:bookmarkStart w:id="159" w:name="_Toc342913389"/>
      <w:bookmarkStart w:id="160" w:name="_Toc20768"/>
      <w:r>
        <w:rPr>
          <w:rFonts w:hint="eastAsia" w:ascii="黑体" w:hAnsi="黑体" w:eastAsia="黑体" w:cs="黑体"/>
          <w:b w:val="0"/>
          <w:bCs/>
          <w:color w:val="auto"/>
          <w:sz w:val="24"/>
          <w:szCs w:val="24"/>
          <w:highlight w:val="none"/>
        </w:rPr>
        <w:t>一、</w:t>
      </w:r>
      <w:r>
        <w:rPr>
          <w:rFonts w:hint="eastAsia" w:ascii="黑体" w:hAnsi="黑体" w:eastAsia="黑体" w:cs="黑体"/>
          <w:b w:val="0"/>
          <w:bCs/>
          <w:color w:val="auto"/>
          <w:sz w:val="24"/>
          <w:szCs w:val="24"/>
          <w:highlight w:val="none"/>
          <w:lang w:val="en-US" w:eastAsia="zh-CN"/>
        </w:rPr>
        <w:t>遴选</w:t>
      </w:r>
      <w:r>
        <w:rPr>
          <w:rFonts w:hint="eastAsia" w:ascii="黑体" w:hAnsi="黑体" w:eastAsia="黑体" w:cs="黑体"/>
          <w:b w:val="0"/>
          <w:bCs/>
          <w:color w:val="auto"/>
          <w:sz w:val="24"/>
          <w:szCs w:val="24"/>
          <w:highlight w:val="none"/>
        </w:rPr>
        <w:t>费用</w:t>
      </w:r>
      <w:bookmarkEnd w:id="155"/>
      <w:bookmarkEnd w:id="156"/>
      <w:bookmarkEnd w:id="157"/>
      <w:bookmarkEnd w:id="158"/>
      <w:bookmarkEnd w:id="159"/>
      <w:bookmarkEnd w:id="160"/>
    </w:p>
    <w:p>
      <w:pPr>
        <w:pStyle w:val="180"/>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的</w:t>
      </w:r>
      <w:r>
        <w:rPr>
          <w:rFonts w:hint="eastAsia" w:hAnsi="宋体" w:cs="宋体"/>
          <w:color w:val="auto"/>
          <w:sz w:val="24"/>
          <w:szCs w:val="24"/>
          <w:highlight w:val="none"/>
          <w:lang w:eastAsia="zh-CN"/>
        </w:rPr>
        <w:t>供应商</w:t>
      </w:r>
      <w:r>
        <w:rPr>
          <w:rFonts w:hint="eastAsia" w:ascii="宋体" w:hAnsi="宋体" w:eastAsia="宋体" w:cs="宋体"/>
          <w:color w:val="auto"/>
          <w:sz w:val="24"/>
          <w:szCs w:val="24"/>
          <w:highlight w:val="none"/>
        </w:rPr>
        <w:t>应承担其编制响应文件与递交响应文件所涉及的一切费用，不论</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结果如何，采购人在任何情况下无义务也无责任承担这些费用。</w:t>
      </w:r>
    </w:p>
    <w:p>
      <w:pPr>
        <w:pStyle w:val="3"/>
        <w:pageBreakBefore w:val="0"/>
        <w:kinsoku/>
        <w:wordWrap/>
        <w:overflowPunct/>
        <w:topLinePunct w:val="0"/>
        <w:autoSpaceDE/>
        <w:autoSpaceDN/>
        <w:bidi w:val="0"/>
        <w:adjustRightInd w:val="0"/>
        <w:snapToGrid w:val="0"/>
        <w:spacing w:before="0" w:after="0" w:line="500" w:lineRule="exact"/>
        <w:ind w:firstLine="480" w:firstLineChars="200"/>
        <w:rPr>
          <w:rFonts w:hint="eastAsia" w:ascii="黑体" w:hAnsi="黑体" w:eastAsia="黑体" w:cs="黑体"/>
          <w:b w:val="0"/>
          <w:bCs/>
          <w:color w:val="auto"/>
          <w:sz w:val="24"/>
          <w:szCs w:val="24"/>
          <w:highlight w:val="none"/>
        </w:rPr>
      </w:pPr>
      <w:bookmarkStart w:id="161" w:name="_Toc106030894"/>
      <w:bookmarkStart w:id="162" w:name="_Toc14481"/>
      <w:bookmarkStart w:id="163" w:name="_Toc342913391"/>
      <w:bookmarkStart w:id="164" w:name="_Toc4014"/>
      <w:bookmarkStart w:id="165" w:name="_Toc15712"/>
      <w:bookmarkStart w:id="166" w:name="_Toc76462339"/>
      <w:r>
        <w:rPr>
          <w:rFonts w:hint="eastAsia" w:ascii="黑体" w:hAnsi="黑体" w:eastAsia="黑体" w:cs="黑体"/>
          <w:b w:val="0"/>
          <w:bCs/>
          <w:color w:val="auto"/>
          <w:sz w:val="24"/>
          <w:szCs w:val="24"/>
          <w:highlight w:val="none"/>
        </w:rPr>
        <w:t>二、</w:t>
      </w:r>
      <w:r>
        <w:rPr>
          <w:rFonts w:hint="eastAsia" w:ascii="黑体" w:hAnsi="黑体" w:eastAsia="黑体" w:cs="黑体"/>
          <w:b w:val="0"/>
          <w:bCs/>
          <w:color w:val="auto"/>
          <w:sz w:val="24"/>
          <w:szCs w:val="24"/>
          <w:highlight w:val="none"/>
          <w:lang w:val="en-US" w:eastAsia="zh-CN"/>
        </w:rPr>
        <w:t>遴选</w:t>
      </w:r>
      <w:r>
        <w:rPr>
          <w:rFonts w:hint="eastAsia" w:ascii="黑体" w:hAnsi="黑体" w:eastAsia="黑体" w:cs="黑体"/>
          <w:b w:val="0"/>
          <w:bCs/>
          <w:color w:val="auto"/>
          <w:sz w:val="24"/>
          <w:szCs w:val="24"/>
          <w:highlight w:val="none"/>
        </w:rPr>
        <w:t>文件</w:t>
      </w:r>
      <w:bookmarkEnd w:id="161"/>
      <w:bookmarkEnd w:id="162"/>
      <w:bookmarkEnd w:id="163"/>
      <w:bookmarkEnd w:id="164"/>
      <w:bookmarkEnd w:id="165"/>
      <w:bookmarkEnd w:id="166"/>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文件由采购邀请书、项目服务需求、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须知、项目商务需求、</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程序及方法、评审标准、无效响应和采购终止、</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须知</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响应文件编制要求</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部分组成。</w:t>
      </w:r>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（二）采购人所作的一切有效的书面通知、修改及补充，都是</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文件不可分割的部分。</w:t>
      </w:r>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文件的解释</w:t>
      </w:r>
    </w:p>
    <w:p>
      <w:pPr>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如对</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文件有疑问，必须以书面形式在提交响应文件截止时间前向采购人要求澄清，采购人可视具体情况做出处理或答复。如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未提出疑问，视为完全理解并同意本</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文件。一经</w:t>
      </w:r>
      <w:r>
        <w:rPr>
          <w:rFonts w:hint="eastAsia" w:ascii="宋体" w:hAnsi="宋体" w:eastAsia="宋体" w:cs="宋体"/>
          <w:color w:val="auto"/>
          <w:sz w:val="24"/>
          <w:szCs w:val="24"/>
          <w:highlight w:val="none"/>
          <w:lang w:val="en-US" w:eastAsia="zh-CN"/>
        </w:rPr>
        <w:t>递交投标文件或</w:t>
      </w:r>
      <w:r>
        <w:rPr>
          <w:rFonts w:hint="eastAsia" w:ascii="宋体" w:hAnsi="宋体" w:eastAsia="宋体" w:cs="宋体"/>
          <w:color w:val="auto"/>
          <w:sz w:val="24"/>
          <w:szCs w:val="24"/>
          <w:highlight w:val="none"/>
        </w:rPr>
        <w:t>进入</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程序，即视为</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已详细阅读全部文件资料，完全理解</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文件所有条款内容并同意放弃对这方面有不明白及误解的权利。</w:t>
      </w:r>
      <w:bookmarkStart w:id="167" w:name="_Toc318159349"/>
      <w:bookmarkStart w:id="168" w:name="_Toc318159780"/>
      <w:bookmarkStart w:id="169" w:name="_Toc318159160"/>
      <w:bookmarkStart w:id="170" w:name="_Toc318166429"/>
    </w:p>
    <w:bookmarkEnd w:id="167"/>
    <w:bookmarkEnd w:id="168"/>
    <w:bookmarkEnd w:id="169"/>
    <w:bookmarkEnd w:id="170"/>
    <w:p>
      <w:pPr>
        <w:pStyle w:val="3"/>
        <w:pageBreakBefore w:val="0"/>
        <w:kinsoku/>
        <w:wordWrap/>
        <w:overflowPunct/>
        <w:topLinePunct w:val="0"/>
        <w:autoSpaceDE/>
        <w:autoSpaceDN/>
        <w:bidi w:val="0"/>
        <w:adjustRightInd w:val="0"/>
        <w:snapToGrid w:val="0"/>
        <w:spacing w:before="0" w:after="0" w:line="500" w:lineRule="exact"/>
        <w:ind w:firstLine="480" w:firstLineChars="200"/>
        <w:rPr>
          <w:rFonts w:hint="eastAsia" w:ascii="黑体" w:hAnsi="黑体" w:eastAsia="黑体" w:cs="黑体"/>
          <w:b w:val="0"/>
          <w:bCs/>
          <w:color w:val="auto"/>
          <w:sz w:val="24"/>
          <w:szCs w:val="24"/>
          <w:highlight w:val="none"/>
        </w:rPr>
      </w:pPr>
      <w:bookmarkStart w:id="171" w:name="_Toc26007"/>
      <w:bookmarkStart w:id="172" w:name="_Toc342913392"/>
      <w:bookmarkStart w:id="173" w:name="_Toc76462340"/>
      <w:bookmarkStart w:id="174" w:name="_Toc102227318"/>
      <w:bookmarkStart w:id="175" w:name="_Toc106030895"/>
      <w:bookmarkStart w:id="176" w:name="_Toc179714297"/>
      <w:bookmarkStart w:id="177" w:name="_Toc11457"/>
      <w:bookmarkStart w:id="178" w:name="_Toc8580"/>
      <w:r>
        <w:rPr>
          <w:rFonts w:hint="eastAsia" w:ascii="黑体" w:hAnsi="黑体" w:eastAsia="黑体" w:cs="黑体"/>
          <w:b w:val="0"/>
          <w:bCs/>
          <w:color w:val="auto"/>
          <w:sz w:val="24"/>
          <w:szCs w:val="24"/>
          <w:highlight w:val="none"/>
        </w:rPr>
        <w:t>三、</w:t>
      </w:r>
      <w:r>
        <w:rPr>
          <w:rFonts w:hint="eastAsia" w:ascii="黑体" w:hAnsi="黑体" w:eastAsia="黑体" w:cs="黑体"/>
          <w:b w:val="0"/>
          <w:bCs/>
          <w:color w:val="auto"/>
          <w:sz w:val="24"/>
          <w:szCs w:val="24"/>
          <w:highlight w:val="none"/>
          <w:lang w:val="en-US" w:eastAsia="zh-CN"/>
        </w:rPr>
        <w:t>遴选</w:t>
      </w:r>
      <w:r>
        <w:rPr>
          <w:rFonts w:hint="eastAsia" w:ascii="黑体" w:hAnsi="黑体" w:eastAsia="黑体" w:cs="黑体"/>
          <w:b w:val="0"/>
          <w:bCs/>
          <w:color w:val="auto"/>
          <w:sz w:val="24"/>
          <w:szCs w:val="24"/>
          <w:highlight w:val="none"/>
        </w:rPr>
        <w:t>要求</w:t>
      </w:r>
      <w:bookmarkEnd w:id="171"/>
      <w:bookmarkEnd w:id="172"/>
      <w:bookmarkEnd w:id="173"/>
      <w:bookmarkEnd w:id="174"/>
      <w:bookmarkEnd w:id="175"/>
      <w:bookmarkEnd w:id="176"/>
      <w:bookmarkEnd w:id="177"/>
      <w:bookmarkEnd w:id="178"/>
    </w:p>
    <w:p>
      <w:pPr>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（一）响应文件</w:t>
      </w:r>
    </w:p>
    <w:p>
      <w:pPr>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应当按照</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文件的要求编制响应文件，并对</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文件提出的要求和条件作出实质性响应，响应文件原则上采用软面订本，同时应编制完整的页码、目录。</w:t>
      </w:r>
    </w:p>
    <w:p>
      <w:pPr>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2.响应文件组成</w:t>
      </w:r>
    </w:p>
    <w:p>
      <w:pPr>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响应文件由“第</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篇响应文件编制要求”规定的部分和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所作的一切有效补充、修改和承诺等文件组成，</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应按照“第</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篇响应文件编制要求”规定的目录顺序组织编写和装订，也可在基本格式基础上对表格进行扩展，未规定格式的由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自定格式。</w:t>
      </w:r>
    </w:p>
    <w:p>
      <w:pPr>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有效期：响应文件及有关承诺文件有效期为提交响应文件截止时间起90天。</w:t>
      </w:r>
    </w:p>
    <w:p>
      <w:pPr>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）修正错误</w:t>
      </w:r>
    </w:p>
    <w:p>
      <w:pPr>
        <w:pStyle w:val="5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若投标文件出现计算或表达上的错误，修正错误的原则如下：</w:t>
      </w:r>
    </w:p>
    <w:p>
      <w:pPr>
        <w:pStyle w:val="5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1.投标文件中开标一览表（报价表）内容与投标文件中相应内容不一致的，以开标一览表（报价表）为准；</w:t>
      </w:r>
    </w:p>
    <w:p>
      <w:pPr>
        <w:pStyle w:val="5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2.大写金额和小写金额不一致的，以大写金额为准，大写有误的相应投标人作废标处理；</w:t>
      </w:r>
    </w:p>
    <w:p>
      <w:pPr>
        <w:pStyle w:val="5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3.单价金额小数点或者百分比有明显错位的，以开标一览表的总价为准，并修改单价；</w:t>
      </w:r>
    </w:p>
    <w:p>
      <w:pPr>
        <w:pStyle w:val="5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4.总价金额与按单价汇总金额不一致的，以单价金额计算结果为准。</w:t>
      </w:r>
    </w:p>
    <w:p>
      <w:pPr>
        <w:keepNext w:val="0"/>
        <w:keepLines w:val="0"/>
        <w:pageBreakBefore w:val="0"/>
        <w:widowControl/>
        <w:suppressLineNumbers w:val="0"/>
        <w:kinsoku/>
        <w:wordWrap/>
        <w:overflowPunct/>
        <w:topLinePunct w:val="0"/>
        <w:autoSpaceDE/>
        <w:autoSpaceDN/>
        <w:bidi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小组</w:t>
      </w:r>
      <w:r>
        <w:rPr>
          <w:rFonts w:hint="eastAsia" w:ascii="宋体" w:hAnsi="宋体" w:eastAsia="宋体" w:cs="宋体"/>
          <w:color w:val="auto"/>
          <w:kern w:val="2"/>
          <w:sz w:val="24"/>
          <w:szCs w:val="24"/>
          <w:highlight w:val="none"/>
          <w:lang w:val="en-US" w:eastAsia="zh-CN" w:bidi="ar"/>
        </w:rPr>
        <w:t>按上述修正错误的原则及方法调整或修正投标人投标报价，若同时出现两种以上不一致的，按照前款规定的顺序修正，投标人同意并签字确认后，调整后的投标报价对投标人具有约束作用。如果投标人不接受修正后的报价，则其投标将作为无效投标处理。</w:t>
      </w:r>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）提交响应文件的份数和签署</w:t>
      </w:r>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1.响应文件一式六份，其中正本一份，副本五份，电子</w:t>
      </w:r>
      <w:r>
        <w:rPr>
          <w:rFonts w:hint="eastAsia" w:ascii="宋体" w:hAnsi="宋体" w:eastAsia="宋体" w:cs="宋体"/>
          <w:color w:val="auto"/>
          <w:sz w:val="24"/>
          <w:szCs w:val="24"/>
          <w:highlight w:val="none"/>
          <w:lang w:val="en-US" w:eastAsia="zh-CN"/>
        </w:rPr>
        <w:t>版报价</w:t>
      </w:r>
      <w:r>
        <w:rPr>
          <w:rFonts w:hint="eastAsia" w:ascii="宋体" w:hAnsi="宋体" w:eastAsia="宋体" w:cs="宋体"/>
          <w:color w:val="auto"/>
          <w:sz w:val="24"/>
          <w:szCs w:val="24"/>
          <w:highlight w:val="none"/>
        </w:rPr>
        <w:t>一份（</w:t>
      </w:r>
      <w:r>
        <w:rPr>
          <w:rFonts w:hint="eastAsia" w:ascii="宋体" w:hAnsi="宋体" w:eastAsia="宋体" w:cs="宋体"/>
          <w:color w:val="auto"/>
          <w:sz w:val="24"/>
          <w:szCs w:val="24"/>
          <w:highlight w:val="none"/>
          <w:lang w:val="en-US" w:eastAsia="zh-CN"/>
        </w:rPr>
        <w:t>电子版报价</w:t>
      </w:r>
      <w:r>
        <w:rPr>
          <w:rFonts w:hint="eastAsia" w:ascii="宋体" w:hAnsi="宋体" w:eastAsia="宋体" w:cs="宋体"/>
          <w:color w:val="auto"/>
          <w:sz w:val="24"/>
          <w:szCs w:val="24"/>
          <w:highlight w:val="none"/>
        </w:rPr>
        <w:t>应与纸质文件正本一致，如不一致以纸质文件正本为准）；副本可为正本的复印件，应与正本一致，如出现不一致情况以正本为准。</w:t>
      </w:r>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2.响应文件按</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文件“第七篇响应文件编制要求”要求签署或盖章。</w:t>
      </w:r>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）响应文件的递交</w:t>
      </w:r>
    </w:p>
    <w:p>
      <w:pPr>
        <w:pStyle w:val="30"/>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响应文件的正本、副本均应密封送达</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地点，应在封套上注明</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名称。若正本、副本分别进行密封的，还应在封套上注明“正本”、“副本”字样；</w:t>
      </w:r>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参与人员</w:t>
      </w:r>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各个</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应当派1-2名代表参与</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，至少1人应为法定代表人（或其授权代表）或自然人（</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为自然人）。</w:t>
      </w:r>
    </w:p>
    <w:p>
      <w:pPr>
        <w:pStyle w:val="3"/>
        <w:pageBreakBefore w:val="0"/>
        <w:kinsoku/>
        <w:wordWrap/>
        <w:overflowPunct/>
        <w:topLinePunct w:val="0"/>
        <w:autoSpaceDE/>
        <w:autoSpaceDN/>
        <w:bidi w:val="0"/>
        <w:adjustRightInd w:val="0"/>
        <w:snapToGrid w:val="0"/>
        <w:spacing w:before="0" w:after="0" w:line="500" w:lineRule="exact"/>
        <w:ind w:firstLine="480" w:firstLineChars="200"/>
        <w:rPr>
          <w:rFonts w:hint="eastAsia" w:ascii="黑体" w:hAnsi="黑体" w:eastAsia="黑体" w:cs="黑体"/>
          <w:b w:val="0"/>
          <w:bCs/>
          <w:color w:val="auto"/>
          <w:sz w:val="24"/>
          <w:szCs w:val="24"/>
          <w:highlight w:val="none"/>
        </w:rPr>
      </w:pPr>
      <w:bookmarkStart w:id="179" w:name="_Toc4180"/>
      <w:bookmarkStart w:id="180" w:name="_Toc6435"/>
      <w:bookmarkStart w:id="181" w:name="_Toc76462341"/>
      <w:bookmarkStart w:id="182" w:name="_Toc106030896"/>
      <w:bookmarkStart w:id="183" w:name="_Toc13068"/>
      <w:r>
        <w:rPr>
          <w:rFonts w:hint="eastAsia" w:ascii="黑体" w:hAnsi="黑体" w:eastAsia="黑体" w:cs="黑体"/>
          <w:b w:val="0"/>
          <w:bCs/>
          <w:color w:val="auto"/>
          <w:sz w:val="24"/>
          <w:szCs w:val="24"/>
          <w:highlight w:val="none"/>
        </w:rPr>
        <w:t>四、</w:t>
      </w:r>
      <w:r>
        <w:rPr>
          <w:rFonts w:hint="eastAsia" w:ascii="黑体" w:hAnsi="黑体" w:eastAsia="黑体" w:cs="黑体"/>
          <w:b w:val="0"/>
          <w:bCs/>
          <w:color w:val="auto"/>
          <w:sz w:val="24"/>
          <w:szCs w:val="24"/>
          <w:highlight w:val="none"/>
          <w:lang w:eastAsia="zh-CN"/>
        </w:rPr>
        <w:t>成交供应商</w:t>
      </w:r>
      <w:r>
        <w:rPr>
          <w:rFonts w:hint="eastAsia" w:ascii="黑体" w:hAnsi="黑体" w:eastAsia="黑体" w:cs="黑体"/>
          <w:b w:val="0"/>
          <w:bCs/>
          <w:color w:val="auto"/>
          <w:sz w:val="24"/>
          <w:szCs w:val="24"/>
          <w:highlight w:val="none"/>
        </w:rPr>
        <w:t>的确认和变更</w:t>
      </w:r>
      <w:bookmarkEnd w:id="179"/>
      <w:bookmarkEnd w:id="180"/>
      <w:bookmarkEnd w:id="181"/>
      <w:bookmarkEnd w:id="182"/>
      <w:bookmarkEnd w:id="183"/>
    </w:p>
    <w:p>
      <w:pPr>
        <w:pageBreakBefore w:val="0"/>
        <w:kinsoku/>
        <w:wordWrap/>
        <w:overflowPunct/>
        <w:topLinePunct w:val="0"/>
        <w:autoSpaceDE/>
        <w:autoSpaceDN/>
        <w:bidi w:val="0"/>
        <w:snapToGrid w:val="0"/>
        <w:spacing w:line="500" w:lineRule="exact"/>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的确认</w:t>
      </w:r>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采购人从评审报告提出的成交候选</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中，按照排序由高到低的原则确定</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w:t>
      </w:r>
    </w:p>
    <w:p>
      <w:pPr>
        <w:pageBreakBefore w:val="0"/>
        <w:kinsoku/>
        <w:wordWrap/>
        <w:overflowPunct/>
        <w:topLinePunct w:val="0"/>
        <w:autoSpaceDE/>
        <w:autoSpaceDN/>
        <w:bidi w:val="0"/>
        <w:snapToGrid w:val="0"/>
        <w:spacing w:line="500" w:lineRule="exact"/>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的变更</w:t>
      </w:r>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拒绝与采购人签订合同的，采购人可以按照评标报告推荐的成交候选</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顺序，确定排名下一位的候选人为</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，也可以重新开展采购活动。</w:t>
      </w:r>
    </w:p>
    <w:p>
      <w:pPr>
        <w:pStyle w:val="3"/>
        <w:pageBreakBefore w:val="0"/>
        <w:kinsoku/>
        <w:wordWrap/>
        <w:overflowPunct/>
        <w:topLinePunct w:val="0"/>
        <w:autoSpaceDE/>
        <w:autoSpaceDN/>
        <w:bidi w:val="0"/>
        <w:adjustRightInd w:val="0"/>
        <w:snapToGrid w:val="0"/>
        <w:spacing w:before="0" w:after="0" w:line="500" w:lineRule="exact"/>
        <w:ind w:firstLine="480" w:firstLineChars="200"/>
        <w:rPr>
          <w:rFonts w:hint="eastAsia" w:ascii="黑体" w:hAnsi="黑体" w:eastAsia="黑体" w:cs="黑体"/>
          <w:b w:val="0"/>
          <w:bCs/>
          <w:color w:val="auto"/>
          <w:sz w:val="24"/>
          <w:szCs w:val="24"/>
          <w:highlight w:val="none"/>
        </w:rPr>
      </w:pPr>
      <w:bookmarkStart w:id="184" w:name="_Toc102227321"/>
      <w:bookmarkStart w:id="185" w:name="_Toc106030897"/>
      <w:bookmarkStart w:id="186" w:name="_Toc76462342"/>
      <w:bookmarkStart w:id="187" w:name="_Toc342913395"/>
      <w:bookmarkStart w:id="188" w:name="_Toc13220"/>
      <w:bookmarkStart w:id="189" w:name="_Toc21532"/>
      <w:bookmarkStart w:id="190" w:name="_Toc23230"/>
      <w:r>
        <w:rPr>
          <w:rFonts w:hint="eastAsia" w:ascii="黑体" w:hAnsi="黑体" w:eastAsia="黑体" w:cs="黑体"/>
          <w:b w:val="0"/>
          <w:bCs/>
          <w:color w:val="auto"/>
          <w:sz w:val="24"/>
          <w:szCs w:val="24"/>
          <w:highlight w:val="none"/>
        </w:rPr>
        <w:t>五、成交通知</w:t>
      </w:r>
      <w:bookmarkEnd w:id="184"/>
      <w:bookmarkEnd w:id="185"/>
      <w:bookmarkEnd w:id="186"/>
      <w:bookmarkEnd w:id="187"/>
      <w:bookmarkEnd w:id="188"/>
      <w:bookmarkEnd w:id="189"/>
      <w:bookmarkEnd w:id="190"/>
    </w:p>
    <w:p>
      <w:pPr>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确定后，招标办将在</w:t>
      </w:r>
      <w:r>
        <w:rPr>
          <w:rFonts w:hint="eastAsia" w:ascii="宋体" w:hAnsi="宋体" w:eastAsia="宋体" w:cs="宋体"/>
          <w:color w:val="auto"/>
          <w:sz w:val="24"/>
          <w:szCs w:val="24"/>
          <w:highlight w:val="none"/>
          <w:lang w:eastAsia="zh-CN"/>
        </w:rPr>
        <w:t>重庆市黔江中心医院</w:t>
      </w:r>
      <w:r>
        <w:rPr>
          <w:rFonts w:hint="eastAsia" w:ascii="宋体" w:hAnsi="宋体" w:eastAsia="宋体" w:cs="宋体"/>
          <w:color w:val="auto"/>
          <w:sz w:val="24"/>
          <w:szCs w:val="24"/>
          <w:highlight w:val="none"/>
          <w:lang w:val="en-US" w:eastAsia="zh-CN"/>
        </w:rPr>
        <w:t>官网</w:t>
      </w:r>
      <w:r>
        <w:rPr>
          <w:rFonts w:hint="eastAsia" w:ascii="宋体" w:hAnsi="宋体" w:eastAsia="宋体" w:cs="宋体"/>
          <w:color w:val="auto"/>
          <w:sz w:val="24"/>
          <w:szCs w:val="24"/>
          <w:highlight w:val="none"/>
        </w:rPr>
        <w:t>上发布成交结果公告。</w:t>
      </w:r>
    </w:p>
    <w:p>
      <w:pPr>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结果公告</w:t>
      </w:r>
      <w:r>
        <w:rPr>
          <w:rFonts w:hint="eastAsia" w:ascii="宋体" w:hAnsi="宋体" w:eastAsia="宋体" w:cs="宋体"/>
          <w:color w:val="auto"/>
          <w:sz w:val="24"/>
          <w:szCs w:val="24"/>
          <w:highlight w:val="none"/>
        </w:rPr>
        <w:t>》将作为签订合同的依据。</w:t>
      </w:r>
    </w:p>
    <w:p>
      <w:pPr>
        <w:pStyle w:val="3"/>
        <w:pageBreakBefore w:val="0"/>
        <w:kinsoku/>
        <w:wordWrap/>
        <w:overflowPunct/>
        <w:topLinePunct w:val="0"/>
        <w:autoSpaceDE/>
        <w:autoSpaceDN/>
        <w:bidi w:val="0"/>
        <w:adjustRightInd w:val="0"/>
        <w:snapToGrid w:val="0"/>
        <w:spacing w:before="0" w:after="0" w:line="500" w:lineRule="exact"/>
        <w:ind w:firstLine="480" w:firstLineChars="200"/>
        <w:rPr>
          <w:rFonts w:hint="eastAsia" w:ascii="黑体" w:hAnsi="黑体" w:eastAsia="黑体" w:cs="黑体"/>
          <w:b w:val="0"/>
          <w:bCs/>
          <w:color w:val="auto"/>
          <w:sz w:val="24"/>
          <w:szCs w:val="24"/>
          <w:highlight w:val="none"/>
        </w:rPr>
      </w:pPr>
      <w:bookmarkStart w:id="191" w:name="_Toc9289"/>
      <w:bookmarkStart w:id="192" w:name="_Toc106030898"/>
      <w:bookmarkStart w:id="193" w:name="_Toc76462343"/>
      <w:bookmarkStart w:id="194" w:name="_Toc21448"/>
      <w:bookmarkStart w:id="195" w:name="_Toc19062"/>
      <w:r>
        <w:rPr>
          <w:rFonts w:hint="eastAsia" w:ascii="黑体" w:hAnsi="黑体" w:eastAsia="黑体" w:cs="黑体"/>
          <w:b w:val="0"/>
          <w:bCs/>
          <w:color w:val="auto"/>
          <w:sz w:val="24"/>
          <w:szCs w:val="24"/>
          <w:highlight w:val="none"/>
        </w:rPr>
        <w:t>六、质疑</w:t>
      </w:r>
      <w:r>
        <w:rPr>
          <w:rFonts w:hint="eastAsia" w:ascii="黑体" w:hAnsi="黑体" w:eastAsia="黑体" w:cs="黑体"/>
          <w:b w:val="0"/>
          <w:bCs/>
          <w:color w:val="auto"/>
          <w:sz w:val="24"/>
          <w:szCs w:val="24"/>
          <w:highlight w:val="none"/>
          <w:lang w:val="en-US" w:eastAsia="zh-CN"/>
        </w:rPr>
        <w:t>处理</w:t>
      </w:r>
      <w:bookmarkEnd w:id="191"/>
      <w:bookmarkEnd w:id="192"/>
      <w:bookmarkEnd w:id="193"/>
      <w:bookmarkEnd w:id="194"/>
      <w:bookmarkEnd w:id="195"/>
    </w:p>
    <w:p>
      <w:pPr>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认为采购文件、采购过程和成交结果使自己的权益收到伤害的，可向采购人以书面形式提出质疑。</w:t>
      </w:r>
    </w:p>
    <w:p>
      <w:pPr>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提出质疑的应当是参与所质疑项目采购活动的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 xml:space="preserve">。 </w:t>
      </w:r>
    </w:p>
    <w:p>
      <w:pPr>
        <w:pageBreakBefore w:val="0"/>
        <w:kinsoku/>
        <w:wordWrap/>
        <w:overflowPunct/>
        <w:topLinePunct w:val="0"/>
        <w:autoSpaceDE/>
        <w:autoSpaceDN/>
        <w:bidi w:val="0"/>
        <w:spacing w:line="500" w:lineRule="exact"/>
        <w:ind w:right="12" w:firstLine="48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质疑时限、内容</w:t>
      </w:r>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1.质疑时限</w:t>
      </w:r>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1.1对采购文件的质疑。</w:t>
      </w:r>
      <w:r>
        <w:rPr>
          <w:rFonts w:hint="eastAsia" w:ascii="宋体" w:hAnsi="宋体" w:eastAsia="宋体" w:cs="宋体"/>
          <w:color w:val="auto"/>
          <w:sz w:val="24"/>
          <w:szCs w:val="24"/>
          <w:highlight w:val="none"/>
        </w:rPr>
        <w:t>投标人如对本</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文件有任何实质性疑问，应当以书面形式向</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提出质疑，并须将该质疑文件纸质版（须加盖提出质疑单位的公章确认）在</w:t>
      </w:r>
      <w:r>
        <w:rPr>
          <w:rFonts w:hint="eastAsia" w:ascii="宋体" w:hAnsi="宋体" w:eastAsia="宋体" w:cs="宋体"/>
          <w:color w:val="auto"/>
          <w:sz w:val="24"/>
          <w:szCs w:val="24"/>
          <w:highlight w:val="none"/>
          <w:lang w:val="en-US" w:eastAsia="zh-CN"/>
        </w:rPr>
        <w:t>2026年</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日17点30分之前送达采购人</w:t>
      </w:r>
      <w:r>
        <w:rPr>
          <w:rFonts w:hint="eastAsia" w:ascii="宋体" w:hAnsi="宋体" w:eastAsia="宋体" w:cs="宋体"/>
          <w:color w:val="auto"/>
          <w:sz w:val="24"/>
          <w:szCs w:val="24"/>
          <w:highlight w:val="none"/>
        </w:rPr>
        <w:t>。</w:t>
      </w:r>
    </w:p>
    <w:p>
      <w:pPr>
        <w:pageBreakBefore w:val="0"/>
        <w:kinsoku/>
        <w:wordWrap/>
        <w:overflowPunct/>
        <w:topLinePunct w:val="0"/>
        <w:autoSpaceDE/>
        <w:autoSpaceDN/>
        <w:bidi w:val="0"/>
        <w:spacing w:line="500" w:lineRule="exact"/>
        <w:ind w:right="1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认为采购过程、成交结果使自己的权益受到损害的，</w:t>
      </w:r>
      <w:r>
        <w:rPr>
          <w:rFonts w:hint="eastAsia" w:ascii="宋体" w:hAnsi="宋体" w:eastAsia="宋体" w:cs="宋体"/>
          <w:color w:val="auto"/>
          <w:sz w:val="24"/>
          <w:szCs w:val="24"/>
          <w:highlight w:val="none"/>
          <w:lang w:val="en-US" w:eastAsia="zh-CN"/>
        </w:rPr>
        <w:t>应现场</w:t>
      </w:r>
      <w:r>
        <w:rPr>
          <w:rFonts w:hint="eastAsia" w:ascii="宋体" w:hAnsi="宋体" w:eastAsia="宋体" w:cs="宋体"/>
          <w:color w:val="auto"/>
          <w:sz w:val="24"/>
          <w:szCs w:val="24"/>
          <w:highlight w:val="none"/>
        </w:rPr>
        <w:t>向采购人提出质疑。</w:t>
      </w:r>
    </w:p>
    <w:p>
      <w:pPr>
        <w:pageBreakBefore w:val="0"/>
        <w:kinsoku/>
        <w:wordWrap/>
        <w:overflowPunct/>
        <w:topLinePunct w:val="0"/>
        <w:autoSpaceDE/>
        <w:autoSpaceDN/>
        <w:bidi w:val="0"/>
        <w:spacing w:line="500" w:lineRule="exact"/>
        <w:ind w:right="1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提出质疑应当提交质疑函和必要的证明材料，质疑函应当包括下列内容：</w:t>
      </w:r>
    </w:p>
    <w:p>
      <w:pPr>
        <w:pageBreakBefore w:val="0"/>
        <w:kinsoku/>
        <w:wordWrap/>
        <w:overflowPunct/>
        <w:topLinePunct w:val="0"/>
        <w:autoSpaceDE/>
        <w:autoSpaceDN/>
        <w:bidi w:val="0"/>
        <w:spacing w:line="500" w:lineRule="exact"/>
        <w:ind w:right="1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的姓名或者名称、地址、邮编、联系人及联系电话；</w:t>
      </w:r>
    </w:p>
    <w:p>
      <w:pPr>
        <w:pageBreakBefore w:val="0"/>
        <w:kinsoku/>
        <w:wordWrap/>
        <w:overflowPunct/>
        <w:topLinePunct w:val="0"/>
        <w:autoSpaceDE/>
        <w:autoSpaceDN/>
        <w:bidi w:val="0"/>
        <w:spacing w:line="500" w:lineRule="exact"/>
        <w:ind w:right="1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2.2质疑项目的名称、项目号以及采购执行编号；</w:t>
      </w:r>
    </w:p>
    <w:p>
      <w:pPr>
        <w:pageBreakBefore w:val="0"/>
        <w:kinsoku/>
        <w:wordWrap/>
        <w:overflowPunct/>
        <w:topLinePunct w:val="0"/>
        <w:autoSpaceDE/>
        <w:autoSpaceDN/>
        <w:bidi w:val="0"/>
        <w:spacing w:line="500" w:lineRule="exact"/>
        <w:ind w:right="1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2.3具体、明确的质疑事项和与质疑事项相关的请求；</w:t>
      </w:r>
    </w:p>
    <w:p>
      <w:pPr>
        <w:pageBreakBefore w:val="0"/>
        <w:kinsoku/>
        <w:wordWrap/>
        <w:overflowPunct/>
        <w:topLinePunct w:val="0"/>
        <w:autoSpaceDE/>
        <w:autoSpaceDN/>
        <w:bidi w:val="0"/>
        <w:spacing w:line="500" w:lineRule="exact"/>
        <w:ind w:right="1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2.4事实依据；</w:t>
      </w:r>
    </w:p>
    <w:p>
      <w:pPr>
        <w:pageBreakBefore w:val="0"/>
        <w:kinsoku/>
        <w:wordWrap/>
        <w:overflowPunct/>
        <w:topLinePunct w:val="0"/>
        <w:autoSpaceDE/>
        <w:autoSpaceDN/>
        <w:bidi w:val="0"/>
        <w:spacing w:line="500" w:lineRule="exact"/>
        <w:ind w:right="1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2.5必要的法律依据；</w:t>
      </w:r>
    </w:p>
    <w:p>
      <w:pPr>
        <w:pageBreakBefore w:val="0"/>
        <w:kinsoku/>
        <w:wordWrap/>
        <w:overflowPunct/>
        <w:topLinePunct w:val="0"/>
        <w:autoSpaceDE/>
        <w:autoSpaceDN/>
        <w:bidi w:val="0"/>
        <w:spacing w:line="500" w:lineRule="exact"/>
        <w:ind w:right="1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2.6提出质疑的日期；</w:t>
      </w:r>
    </w:p>
    <w:p>
      <w:pPr>
        <w:pageBreakBefore w:val="0"/>
        <w:kinsoku/>
        <w:wordWrap/>
        <w:overflowPunct/>
        <w:topLinePunct w:val="0"/>
        <w:autoSpaceDE/>
        <w:autoSpaceDN/>
        <w:bidi w:val="0"/>
        <w:spacing w:line="500" w:lineRule="exact"/>
        <w:ind w:right="1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2.7营业执照（或事业单位法人证书，或个体工商户营业执照或有效的自然人身份证明）复印件；</w:t>
      </w:r>
    </w:p>
    <w:p>
      <w:pPr>
        <w:pageBreakBefore w:val="0"/>
        <w:kinsoku/>
        <w:wordWrap/>
        <w:overflowPunct/>
        <w:topLinePunct w:val="0"/>
        <w:autoSpaceDE/>
        <w:autoSpaceDN/>
        <w:bidi w:val="0"/>
        <w:spacing w:line="500" w:lineRule="exact"/>
        <w:ind w:right="1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2.8法定代表人授权委托书原件、法定代表人身份证复印件和其授权代表的身份证复印件（</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为自然人的提供自然人身份证复印件）；</w:t>
      </w:r>
    </w:p>
    <w:p>
      <w:pPr>
        <w:pageBreakBefore w:val="0"/>
        <w:kinsoku/>
        <w:wordWrap/>
        <w:overflowPunct/>
        <w:topLinePunct w:val="0"/>
        <w:autoSpaceDE/>
        <w:autoSpaceDN/>
        <w:bidi w:val="0"/>
        <w:spacing w:line="500" w:lineRule="exact"/>
        <w:ind w:right="1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为自然人的，质疑函应当由本人签字；</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为法人或者其他组织的，质疑函应当由法定代表人、主要负责人，或者其授权代表签字或者盖章，并加盖公章。</w:t>
      </w:r>
    </w:p>
    <w:p>
      <w:pPr>
        <w:pageBreakBefore w:val="0"/>
        <w:kinsoku/>
        <w:wordWrap/>
        <w:overflowPunct/>
        <w:topLinePunct w:val="0"/>
        <w:autoSpaceDE/>
        <w:autoSpaceDN/>
        <w:bidi w:val="0"/>
        <w:spacing w:line="500" w:lineRule="exact"/>
        <w:ind w:right="12" w:firstLine="48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质疑答复</w:t>
      </w:r>
    </w:p>
    <w:p>
      <w:pPr>
        <w:pageBreakBefore w:val="0"/>
        <w:kinsoku/>
        <w:wordWrap/>
        <w:overflowPunct/>
        <w:topLinePunct w:val="0"/>
        <w:autoSpaceDE/>
        <w:autoSpaceDN/>
        <w:bidi w:val="0"/>
        <w:spacing w:line="500" w:lineRule="exact"/>
        <w:ind w:right="12" w:firstLine="480"/>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采购人应当在收到</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的书面质疑后</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个工作日内作出答复，并以书面形式通知质疑</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和其他有关</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w:t>
      </w:r>
    </w:p>
    <w:p>
      <w:pPr>
        <w:pageBreakBefore w:val="0"/>
        <w:kinsoku/>
        <w:wordWrap/>
        <w:overflowPunct/>
        <w:topLinePunct w:val="0"/>
        <w:autoSpaceDE/>
        <w:autoSpaceDN/>
        <w:bidi w:val="0"/>
        <w:spacing w:line="500" w:lineRule="exact"/>
        <w:ind w:right="1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应在质疑期内一次性提出针对同一采购程序环节的质疑。</w:t>
      </w:r>
      <w:bookmarkStart w:id="196" w:name="_Toc106030899"/>
      <w:bookmarkStart w:id="197" w:name="_Toc76462344"/>
      <w:bookmarkStart w:id="198" w:name="_Toc28334"/>
    </w:p>
    <w:p>
      <w:pPr>
        <w:pStyle w:val="3"/>
        <w:pageBreakBefore w:val="0"/>
        <w:kinsoku/>
        <w:wordWrap/>
        <w:overflowPunct/>
        <w:topLinePunct w:val="0"/>
        <w:autoSpaceDE/>
        <w:autoSpaceDN/>
        <w:bidi w:val="0"/>
        <w:adjustRightInd w:val="0"/>
        <w:snapToGrid w:val="0"/>
        <w:spacing w:before="0" w:after="0" w:line="500" w:lineRule="exact"/>
        <w:ind w:firstLine="480" w:firstLineChars="200"/>
        <w:rPr>
          <w:rFonts w:hint="eastAsia" w:ascii="黑体" w:hAnsi="黑体" w:eastAsia="黑体" w:cs="黑体"/>
          <w:b w:val="0"/>
          <w:bCs/>
          <w:color w:val="auto"/>
          <w:sz w:val="24"/>
          <w:szCs w:val="24"/>
          <w:highlight w:val="none"/>
        </w:rPr>
      </w:pPr>
      <w:bookmarkStart w:id="199" w:name="_Toc13456"/>
      <w:bookmarkStart w:id="200" w:name="_Toc5074"/>
      <w:r>
        <w:rPr>
          <w:rFonts w:hint="eastAsia" w:ascii="黑体" w:hAnsi="黑体" w:eastAsia="黑体" w:cs="黑体"/>
          <w:b w:val="0"/>
          <w:bCs/>
          <w:color w:val="auto"/>
          <w:sz w:val="24"/>
          <w:szCs w:val="24"/>
          <w:highlight w:val="none"/>
        </w:rPr>
        <w:t>七、</w:t>
      </w:r>
      <w:bookmarkEnd w:id="196"/>
      <w:bookmarkEnd w:id="197"/>
      <w:bookmarkEnd w:id="198"/>
      <w:bookmarkStart w:id="201" w:name="_Toc102227322"/>
      <w:bookmarkStart w:id="202" w:name="_Toc76462346"/>
      <w:bookmarkStart w:id="203" w:name="_Toc342913396"/>
      <w:bookmarkStart w:id="204" w:name="_Toc106030901"/>
      <w:bookmarkStart w:id="205" w:name="_Toc3372"/>
      <w:bookmarkStart w:id="206" w:name="_Toc11641055"/>
      <w:bookmarkStart w:id="207" w:name="_Toc12789059"/>
      <w:r>
        <w:rPr>
          <w:rFonts w:hint="eastAsia" w:ascii="黑体" w:hAnsi="黑体" w:eastAsia="黑体" w:cs="黑体"/>
          <w:b w:val="0"/>
          <w:bCs/>
          <w:color w:val="auto"/>
          <w:sz w:val="24"/>
          <w:szCs w:val="24"/>
          <w:highlight w:val="none"/>
        </w:rPr>
        <w:t>签订</w:t>
      </w:r>
      <w:bookmarkEnd w:id="201"/>
      <w:r>
        <w:rPr>
          <w:rFonts w:hint="eastAsia" w:ascii="黑体" w:hAnsi="黑体" w:eastAsia="黑体" w:cs="黑体"/>
          <w:b w:val="0"/>
          <w:bCs/>
          <w:color w:val="auto"/>
          <w:sz w:val="24"/>
          <w:szCs w:val="24"/>
          <w:highlight w:val="none"/>
        </w:rPr>
        <w:t>合同</w:t>
      </w:r>
      <w:bookmarkEnd w:id="199"/>
      <w:bookmarkEnd w:id="200"/>
      <w:bookmarkEnd w:id="202"/>
      <w:bookmarkEnd w:id="203"/>
      <w:bookmarkEnd w:id="204"/>
      <w:bookmarkEnd w:id="205"/>
    </w:p>
    <w:p>
      <w:pPr>
        <w:pageBreakBefore w:val="0"/>
        <w:kinsoku/>
        <w:wordWrap/>
        <w:overflowPunct/>
        <w:topLinePunct w:val="0"/>
        <w:autoSpaceDE/>
        <w:autoSpaceDN/>
        <w:bidi w:val="0"/>
        <w:spacing w:line="5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（一）中标人应于收到中标通知书之日起</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个</w:t>
      </w:r>
      <w:r>
        <w:rPr>
          <w:rFonts w:hint="eastAsia" w:ascii="宋体" w:hAnsi="宋体" w:eastAsia="宋体" w:cs="宋体"/>
          <w:color w:val="auto"/>
          <w:sz w:val="24"/>
          <w:szCs w:val="24"/>
          <w:highlight w:val="none"/>
          <w:lang w:val="en-US" w:eastAsia="zh-CN"/>
        </w:rPr>
        <w:t>日历日</w:t>
      </w:r>
      <w:r>
        <w:rPr>
          <w:rFonts w:hint="eastAsia" w:ascii="宋体" w:hAnsi="宋体" w:eastAsia="宋体" w:cs="宋体"/>
          <w:color w:val="auto"/>
          <w:sz w:val="24"/>
          <w:szCs w:val="24"/>
          <w:highlight w:val="none"/>
        </w:rPr>
        <w:t>内，按照中标项目的招标文件与投标文件递</w:t>
      </w:r>
      <w:r>
        <w:rPr>
          <w:rFonts w:hint="eastAsia" w:ascii="宋体" w:hAnsi="宋体" w:eastAsia="宋体" w:cs="宋体"/>
          <w:color w:val="auto"/>
          <w:sz w:val="24"/>
          <w:szCs w:val="24"/>
          <w:highlight w:val="none"/>
          <w:lang w:val="en-US" w:eastAsia="zh-CN"/>
        </w:rPr>
        <w:t>及成交结果签订</w:t>
      </w:r>
      <w:r>
        <w:rPr>
          <w:rFonts w:hint="eastAsia" w:ascii="宋体" w:hAnsi="宋体" w:eastAsia="宋体" w:cs="宋体"/>
          <w:color w:val="auto"/>
          <w:sz w:val="24"/>
          <w:szCs w:val="24"/>
          <w:highlight w:val="none"/>
        </w:rPr>
        <w:t>采购合同。</w:t>
      </w:r>
    </w:p>
    <w:p>
      <w:pPr>
        <w:pageBreakBefore w:val="0"/>
        <w:kinsoku/>
        <w:wordWrap/>
        <w:overflowPunct/>
        <w:topLinePunct w:val="0"/>
        <w:autoSpaceDE/>
        <w:autoSpaceDN/>
        <w:bidi w:val="0"/>
        <w:spacing w:line="5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（二）中标人未在规定时间内递交合同或放弃中标资格，则招标人将有充分的理由废除授标，将中标人纳入</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失信</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名单并扣除该项目的投标保证金，两年之内不得参与</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任何级别的招标项目。</w:t>
      </w:r>
    </w:p>
    <w:p>
      <w:pPr>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（三）如招标人因中标人未按时递交合同或放弃中标资格而造成损失，中标人应予以赔偿，同时依法承担相应法律责任。</w:t>
      </w:r>
    </w:p>
    <w:p>
      <w:pPr>
        <w:pageBreakBefore w:val="0"/>
        <w:kinsoku/>
        <w:wordWrap/>
        <w:overflowPunct/>
        <w:topLinePunct w:val="0"/>
        <w:autoSpaceDE/>
        <w:autoSpaceDN/>
        <w:bidi w:val="0"/>
        <w:spacing w:line="500" w:lineRule="exact"/>
        <w:ind w:firstLine="480" w:firstLineChars="200"/>
        <w:jc w:val="left"/>
        <w:rPr>
          <w:rFonts w:hint="eastAsia" w:ascii="宋体" w:hAnsi="宋体" w:eastAsia="宋体" w:cs="宋体"/>
          <w:color w:val="auto"/>
          <w:sz w:val="24"/>
          <w:szCs w:val="24"/>
          <w:highlight w:val="none"/>
        </w:rPr>
        <w:sectPr>
          <w:footerReference r:id="rId11" w:type="default"/>
          <w:footerReference r:id="rId12" w:type="even"/>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12" w:charSpace="0"/>
        </w:sectPr>
      </w:pPr>
      <w:r>
        <w:rPr>
          <w:rFonts w:hint="eastAsia" w:ascii="宋体" w:hAnsi="宋体" w:eastAsia="宋体" w:cs="宋体"/>
          <w:color w:val="auto"/>
          <w:sz w:val="24"/>
          <w:szCs w:val="24"/>
          <w:highlight w:val="none"/>
        </w:rPr>
        <w:t>（四）中标人应当按照合同约定履行义务，完成中标项目，不得将中标项目转让(转包)</w:t>
      </w:r>
      <w:r>
        <w:rPr>
          <w:rFonts w:hint="eastAsia" w:ascii="宋体" w:hAnsi="宋体" w:eastAsia="宋体" w:cs="宋体"/>
          <w:color w:val="auto"/>
          <w:sz w:val="24"/>
          <w:szCs w:val="24"/>
          <w:highlight w:val="none"/>
          <w:lang w:val="en-US" w:eastAsia="zh-CN"/>
        </w:rPr>
        <w:t>或分包</w:t>
      </w:r>
      <w:r>
        <w:rPr>
          <w:rFonts w:hint="eastAsia" w:ascii="宋体" w:hAnsi="宋体" w:eastAsia="宋体" w:cs="宋体"/>
          <w:color w:val="auto"/>
          <w:sz w:val="24"/>
          <w:szCs w:val="24"/>
          <w:highlight w:val="none"/>
        </w:rPr>
        <w:t>给他人。</w:t>
      </w:r>
      <w:bookmarkEnd w:id="206"/>
      <w:bookmarkEnd w:id="207"/>
    </w:p>
    <w:p>
      <w:pPr>
        <w:pStyle w:val="3"/>
        <w:pageBreakBefore w:val="0"/>
        <w:kinsoku/>
        <w:wordWrap/>
        <w:overflowPunct/>
        <w:topLinePunct w:val="0"/>
        <w:autoSpaceDE/>
        <w:autoSpaceDN/>
        <w:bidi w:val="0"/>
        <w:spacing w:before="200" w:after="200" w:line="500" w:lineRule="exact"/>
        <w:jc w:val="center"/>
        <w:rPr>
          <w:rFonts w:hint="eastAsia" w:ascii="方正小标宋_GBK" w:hAnsi="方正小标宋_GBK" w:eastAsia="方正小标宋_GBK" w:cs="方正小标宋_GBK"/>
          <w:b w:val="0"/>
          <w:bCs/>
          <w:color w:val="auto"/>
          <w:sz w:val="44"/>
          <w:szCs w:val="44"/>
          <w:highlight w:val="none"/>
        </w:rPr>
      </w:pPr>
      <w:bookmarkStart w:id="208" w:name="_Hlt41879464"/>
      <w:bookmarkEnd w:id="208"/>
      <w:bookmarkStart w:id="209" w:name="_Toc27984"/>
      <w:bookmarkStart w:id="210" w:name="_Toc76462349"/>
      <w:bookmarkStart w:id="211" w:name="_Toc18274"/>
      <w:bookmarkStart w:id="212" w:name="_Toc18252"/>
      <w:bookmarkStart w:id="213" w:name="_Toc106030905"/>
      <w:r>
        <w:rPr>
          <w:rFonts w:hint="eastAsia" w:ascii="方正小标宋_GBK" w:hAnsi="方正小标宋_GBK" w:eastAsia="方正小标宋_GBK" w:cs="方正小标宋_GBK"/>
          <w:b w:val="0"/>
          <w:bCs/>
          <w:color w:val="auto"/>
          <w:sz w:val="44"/>
          <w:szCs w:val="44"/>
          <w:highlight w:val="none"/>
        </w:rPr>
        <w:t>第六篇  响应文件编制要求</w:t>
      </w:r>
      <w:bookmarkEnd w:id="209"/>
      <w:bookmarkEnd w:id="210"/>
      <w:bookmarkEnd w:id="211"/>
      <w:bookmarkEnd w:id="212"/>
      <w:bookmarkEnd w:id="213"/>
    </w:p>
    <w:p>
      <w:pPr>
        <w:pageBreakBefore w:val="0"/>
        <w:kinsoku/>
        <w:wordWrap/>
        <w:overflowPunct/>
        <w:topLinePunct w:val="0"/>
        <w:autoSpaceDE/>
        <w:autoSpaceDN/>
        <w:bidi w:val="0"/>
        <w:spacing w:line="500" w:lineRule="exact"/>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一、经济部分</w:t>
      </w:r>
    </w:p>
    <w:p>
      <w:pPr>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en-US" w:eastAsia="zh-CN"/>
        </w:rPr>
        <w:t>开标一览表</w:t>
      </w:r>
    </w:p>
    <w:p>
      <w:pPr>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（二）明细报价表</w:t>
      </w:r>
    </w:p>
    <w:p>
      <w:pPr>
        <w:pageBreakBefore w:val="0"/>
        <w:kinsoku/>
        <w:wordWrap/>
        <w:overflowPunct/>
        <w:topLinePunct w:val="0"/>
        <w:autoSpaceDE/>
        <w:autoSpaceDN/>
        <w:bidi w:val="0"/>
        <w:spacing w:line="500" w:lineRule="exact"/>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二、服务部分</w:t>
      </w:r>
    </w:p>
    <w:p>
      <w:pPr>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（一）服务响应偏离表</w:t>
      </w:r>
    </w:p>
    <w:p>
      <w:pPr>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（二）其他资料（格式自定）</w:t>
      </w:r>
    </w:p>
    <w:p>
      <w:pPr>
        <w:pageBreakBefore w:val="0"/>
        <w:kinsoku/>
        <w:wordWrap/>
        <w:overflowPunct/>
        <w:topLinePunct w:val="0"/>
        <w:autoSpaceDE/>
        <w:autoSpaceDN/>
        <w:bidi w:val="0"/>
        <w:spacing w:line="500" w:lineRule="exact"/>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三、商务部分</w:t>
      </w:r>
    </w:p>
    <w:p>
      <w:pPr>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（一）商务响应偏离表</w:t>
      </w:r>
    </w:p>
    <w:p>
      <w:pPr>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（二）其它优惠服务承诺（格式自定）</w:t>
      </w:r>
    </w:p>
    <w:p>
      <w:pPr>
        <w:pageBreakBefore w:val="0"/>
        <w:kinsoku/>
        <w:wordWrap/>
        <w:overflowPunct/>
        <w:topLinePunct w:val="0"/>
        <w:autoSpaceDE/>
        <w:autoSpaceDN/>
        <w:bidi w:val="0"/>
        <w:spacing w:line="500" w:lineRule="exact"/>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四、资格条件及其他</w:t>
      </w:r>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（三）法定代表人授权委托书（格式）</w:t>
      </w:r>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val="en-US" w:eastAsia="zh-CN"/>
        </w:rPr>
        <w:t>投标函（格式）</w:t>
      </w:r>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（五）基本资格条件承诺函（格式）</w:t>
      </w:r>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）特定资格条件证书或证明文件</w:t>
      </w:r>
    </w:p>
    <w:p>
      <w:pPr>
        <w:pageBreakBefore w:val="0"/>
        <w:kinsoku/>
        <w:wordWrap/>
        <w:overflowPunct/>
        <w:topLinePunct w:val="0"/>
        <w:autoSpaceDE/>
        <w:autoSpaceDN/>
        <w:bidi w:val="0"/>
        <w:spacing w:line="500" w:lineRule="exact"/>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五、其他资料</w:t>
      </w:r>
    </w:p>
    <w:p>
      <w:pPr>
        <w:pageBreakBefore w:val="0"/>
        <w:kinsoku/>
        <w:wordWrap/>
        <w:overflowPunct/>
        <w:topLinePunct w:val="0"/>
        <w:autoSpaceDE/>
        <w:autoSpaceDN/>
        <w:bidi w:val="0"/>
        <w:spacing w:line="50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（一）中小企业声明函、监狱企业证明文件、残疾人福利性单位声明函</w:t>
      </w:r>
    </w:p>
    <w:p>
      <w:pPr>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（二）联合体协议或分包意向协议（格式自定）</w:t>
      </w:r>
    </w:p>
    <w:p>
      <w:pPr>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（三）其他与项目有关的资料</w:t>
      </w:r>
    </w:p>
    <w:p>
      <w:pPr>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bdr w:val="single" w:color="auto" w:sz="4" w:space="0"/>
        </w:rPr>
        <w:sectPr>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pPr>
    </w:p>
    <w:p>
      <w:pPr>
        <w:pageBreakBefore w:val="0"/>
        <w:kinsoku/>
        <w:wordWrap/>
        <w:overflowPunct/>
        <w:topLinePunct w:val="0"/>
        <w:autoSpaceDE/>
        <w:autoSpaceDN/>
        <w:bidi w:val="0"/>
        <w:spacing w:line="500" w:lineRule="exact"/>
        <w:jc w:val="both"/>
        <w:outlineLvl w:val="0"/>
        <w:rPr>
          <w:rFonts w:hint="eastAsia" w:ascii="宋体" w:hAnsi="宋体" w:eastAsia="宋体" w:cs="宋体"/>
          <w:color w:val="auto"/>
          <w:sz w:val="24"/>
          <w:szCs w:val="24"/>
          <w:highlight w:val="none"/>
          <w:lang w:val="en-US" w:eastAsia="zh-CN"/>
        </w:rPr>
      </w:pPr>
      <w:bookmarkStart w:id="214" w:name="_Toc15994"/>
      <w:bookmarkStart w:id="215" w:name="_Toc313008356"/>
      <w:bookmarkStart w:id="216" w:name="_Toc106030906"/>
      <w:bookmarkStart w:id="217" w:name="_Toc313888360"/>
      <w:bookmarkStart w:id="218" w:name="_Toc342913419"/>
      <w:bookmarkStart w:id="219" w:name="_Toc76462350"/>
      <w:bookmarkStart w:id="220" w:name="_Toc12789073"/>
      <w:bookmarkStart w:id="221" w:name="_Toc283382454"/>
      <w:r>
        <w:rPr>
          <w:rFonts w:hint="eastAsia" w:ascii="宋体" w:hAnsi="宋体" w:eastAsia="宋体" w:cs="宋体"/>
          <w:color w:val="auto"/>
          <w:sz w:val="24"/>
          <w:szCs w:val="24"/>
          <w:highlight w:val="none"/>
          <w:lang w:val="en-US" w:eastAsia="zh-CN"/>
        </w:rPr>
        <w:t>封面</w:t>
      </w:r>
    </w:p>
    <w:p>
      <w:pPr>
        <w:keepNext w:val="0"/>
        <w:keepLines w:val="0"/>
        <w:pageBreakBefore w:val="0"/>
        <w:widowControl w:val="0"/>
        <w:kinsoku/>
        <w:wordWrap/>
        <w:overflowPunct/>
        <w:topLinePunct w:val="0"/>
        <w:autoSpaceDE/>
        <w:autoSpaceDN/>
        <w:bidi w:val="0"/>
        <w:adjustRightInd/>
        <w:snapToGrid/>
        <w:spacing w:line="1300" w:lineRule="exact"/>
        <w:jc w:val="center"/>
        <w:textAlignment w:val="auto"/>
        <w:outlineLvl w:val="0"/>
        <w:rPr>
          <w:rFonts w:hint="eastAsia" w:ascii="宋体" w:hAnsi="宋体" w:eastAsia="宋体" w:cs="宋体"/>
          <w:color w:val="auto"/>
          <w:sz w:val="130"/>
          <w:szCs w:val="130"/>
          <w:highlight w:val="none"/>
        </w:rPr>
      </w:pPr>
    </w:p>
    <w:p>
      <w:pPr>
        <w:keepNext w:val="0"/>
        <w:keepLines w:val="0"/>
        <w:pageBreakBefore w:val="0"/>
        <w:widowControl w:val="0"/>
        <w:kinsoku/>
        <w:wordWrap/>
        <w:overflowPunct/>
        <w:topLinePunct w:val="0"/>
        <w:autoSpaceDE/>
        <w:autoSpaceDN/>
        <w:bidi w:val="0"/>
        <w:adjustRightInd/>
        <w:snapToGrid/>
        <w:spacing w:line="1300" w:lineRule="exact"/>
        <w:jc w:val="center"/>
        <w:textAlignment w:val="auto"/>
        <w:outlineLvl w:val="0"/>
        <w:rPr>
          <w:rFonts w:hint="eastAsia" w:ascii="宋体" w:hAnsi="宋体" w:eastAsia="宋体" w:cs="宋体"/>
          <w:color w:val="auto"/>
          <w:sz w:val="130"/>
          <w:szCs w:val="130"/>
          <w:highlight w:val="none"/>
          <w:lang w:val="en-US" w:eastAsia="zh-CN"/>
        </w:rPr>
      </w:pPr>
      <w:r>
        <w:rPr>
          <w:rFonts w:hint="eastAsia" w:ascii="宋体" w:hAnsi="宋体" w:eastAsia="宋体" w:cs="宋体"/>
          <w:color w:val="auto"/>
          <w:sz w:val="130"/>
          <w:szCs w:val="130"/>
          <w:highlight w:val="none"/>
          <w:lang w:val="en-US" w:eastAsia="zh-CN"/>
        </w:rPr>
        <w:t>响应文件</w:t>
      </w:r>
    </w:p>
    <w:p>
      <w:pPr>
        <w:keepNext w:val="0"/>
        <w:keepLines w:val="0"/>
        <w:pageBreakBefore w:val="0"/>
        <w:widowControl w:val="0"/>
        <w:kinsoku/>
        <w:wordWrap/>
        <w:overflowPunct/>
        <w:topLinePunct w:val="0"/>
        <w:autoSpaceDE/>
        <w:autoSpaceDN/>
        <w:bidi w:val="0"/>
        <w:adjustRightInd/>
        <w:snapToGrid/>
        <w:spacing w:line="1300" w:lineRule="exact"/>
        <w:jc w:val="center"/>
        <w:textAlignment w:val="auto"/>
        <w:outlineLvl w:val="0"/>
        <w:rPr>
          <w:rFonts w:hint="eastAsia" w:ascii="宋体" w:hAnsi="宋体" w:eastAsia="宋体" w:cs="宋体"/>
          <w:color w:val="auto"/>
          <w:sz w:val="130"/>
          <w:szCs w:val="130"/>
          <w:highlight w:val="none"/>
          <w:lang w:eastAsia="zh-CN"/>
        </w:rPr>
      </w:pPr>
      <w:r>
        <w:rPr>
          <w:rFonts w:hint="eastAsia" w:ascii="宋体" w:hAnsi="宋体" w:eastAsia="宋体" w:cs="宋体"/>
          <w:color w:val="auto"/>
          <w:sz w:val="130"/>
          <w:szCs w:val="130"/>
          <w:highlight w:val="none"/>
          <w:lang w:eastAsia="zh-CN"/>
        </w:rPr>
        <w:t>（</w:t>
      </w:r>
      <w:r>
        <w:rPr>
          <w:rFonts w:hint="eastAsia" w:ascii="宋体" w:hAnsi="宋体" w:eastAsia="宋体" w:cs="宋体"/>
          <w:color w:val="auto"/>
          <w:sz w:val="130"/>
          <w:szCs w:val="130"/>
          <w:highlight w:val="none"/>
          <w:lang w:val="en-US" w:eastAsia="zh-CN"/>
        </w:rPr>
        <w:t>正本/副本</w:t>
      </w:r>
      <w:r>
        <w:rPr>
          <w:rFonts w:hint="eastAsia" w:ascii="宋体" w:hAnsi="宋体" w:eastAsia="宋体" w:cs="宋体"/>
          <w:color w:val="auto"/>
          <w:sz w:val="130"/>
          <w:szCs w:val="130"/>
          <w:highlight w:val="none"/>
          <w:lang w:eastAsia="zh-CN"/>
        </w:rPr>
        <w:t>）</w:t>
      </w:r>
    </w:p>
    <w:p>
      <w:pPr>
        <w:pageBreakBefore w:val="0"/>
        <w:kinsoku/>
        <w:wordWrap/>
        <w:overflowPunct/>
        <w:topLinePunct w:val="0"/>
        <w:autoSpaceDE/>
        <w:autoSpaceDN/>
        <w:bidi w:val="0"/>
        <w:spacing w:line="500" w:lineRule="exact"/>
        <w:jc w:val="both"/>
        <w:rPr>
          <w:rFonts w:hint="eastAsia" w:ascii="宋体" w:hAnsi="宋体" w:eastAsia="宋体" w:cs="宋体"/>
          <w:color w:val="auto"/>
          <w:spacing w:val="80"/>
          <w:sz w:val="24"/>
          <w:szCs w:val="24"/>
          <w:highlight w:val="none"/>
        </w:rPr>
      </w:pPr>
    </w:p>
    <w:p>
      <w:pPr>
        <w:pageBreakBefore w:val="0"/>
        <w:kinsoku/>
        <w:wordWrap/>
        <w:overflowPunct/>
        <w:topLinePunct w:val="0"/>
        <w:autoSpaceDE/>
        <w:autoSpaceDN/>
        <w:bidi w:val="0"/>
        <w:spacing w:line="500" w:lineRule="exact"/>
        <w:jc w:val="center"/>
        <w:rPr>
          <w:rFonts w:hint="eastAsia" w:ascii="宋体" w:hAnsi="宋体" w:eastAsia="宋体" w:cs="宋体"/>
          <w:color w:val="auto"/>
          <w:spacing w:val="80"/>
          <w:sz w:val="24"/>
          <w:szCs w:val="24"/>
          <w:highlight w:val="none"/>
        </w:rPr>
      </w:pPr>
    </w:p>
    <w:p>
      <w:pPr>
        <w:pageBreakBefore w:val="0"/>
        <w:kinsoku/>
        <w:wordWrap/>
        <w:overflowPunct/>
        <w:topLinePunct w:val="0"/>
        <w:autoSpaceDE/>
        <w:autoSpaceDN/>
        <w:bidi w:val="0"/>
        <w:spacing w:line="500" w:lineRule="exact"/>
        <w:ind w:firstLine="960" w:firstLineChars="300"/>
        <w:outlineLvl w:val="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项目编号</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u w:val="single"/>
          <w:lang w:val="en-US" w:eastAsia="zh-CN"/>
        </w:rPr>
        <w:t xml:space="preserve">                           </w:t>
      </w:r>
    </w:p>
    <w:p>
      <w:pPr>
        <w:pageBreakBefore w:val="0"/>
        <w:kinsoku/>
        <w:wordWrap/>
        <w:overflowPunct/>
        <w:topLinePunct w:val="0"/>
        <w:autoSpaceDE/>
        <w:autoSpaceDN/>
        <w:bidi w:val="0"/>
        <w:spacing w:line="500" w:lineRule="exact"/>
        <w:ind w:firstLine="960" w:firstLineChars="300"/>
        <w:outlineLvl w:val="0"/>
        <w:rPr>
          <w:rFonts w:hint="eastAsia" w:ascii="宋体" w:hAnsi="宋体" w:eastAsia="宋体" w:cs="宋体"/>
          <w:color w:val="auto"/>
          <w:sz w:val="32"/>
          <w:szCs w:val="32"/>
          <w:highlight w:val="none"/>
          <w:u w:val="single"/>
          <w:lang w:val="en-US" w:eastAsia="zh-CN"/>
        </w:rPr>
      </w:pPr>
      <w:r>
        <w:rPr>
          <w:rFonts w:hint="eastAsia" w:ascii="宋体" w:hAnsi="宋体" w:eastAsia="宋体" w:cs="宋体"/>
          <w:color w:val="auto"/>
          <w:sz w:val="32"/>
          <w:szCs w:val="32"/>
          <w:highlight w:val="none"/>
          <w:lang w:val="en-US" w:eastAsia="zh-CN"/>
        </w:rPr>
        <w:t>项目名称</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u w:val="single"/>
          <w:lang w:val="en-US" w:eastAsia="zh-CN"/>
        </w:rPr>
        <w:t xml:space="preserve">                           </w:t>
      </w:r>
    </w:p>
    <w:p>
      <w:pPr>
        <w:pageBreakBefore w:val="0"/>
        <w:kinsoku/>
        <w:wordWrap/>
        <w:overflowPunct/>
        <w:topLinePunct w:val="0"/>
        <w:autoSpaceDE/>
        <w:autoSpaceDN/>
        <w:bidi w:val="0"/>
        <w:spacing w:line="500" w:lineRule="exact"/>
        <w:ind w:firstLine="960" w:firstLineChars="300"/>
        <w:outlineLvl w:val="0"/>
        <w:rPr>
          <w:rFonts w:hint="eastAsia" w:ascii="宋体" w:hAnsi="宋体" w:eastAsia="宋体" w:cs="宋体"/>
          <w:color w:val="auto"/>
          <w:sz w:val="32"/>
          <w:szCs w:val="32"/>
          <w:highlight w:val="none"/>
          <w:u w:val="none"/>
          <w:lang w:val="en-US" w:eastAsia="zh-CN"/>
        </w:rPr>
      </w:pPr>
      <w:r>
        <w:rPr>
          <w:rFonts w:hint="eastAsia" w:ascii="宋体" w:hAnsi="宋体" w:eastAsia="宋体" w:cs="宋体"/>
          <w:color w:val="auto"/>
          <w:sz w:val="32"/>
          <w:szCs w:val="32"/>
          <w:highlight w:val="none"/>
          <w:u w:val="none"/>
          <w:lang w:val="en-US" w:eastAsia="zh-CN"/>
        </w:rPr>
        <w:t>投标人名称：</w:t>
      </w:r>
      <w:r>
        <w:rPr>
          <w:rFonts w:hint="eastAsia" w:ascii="宋体" w:hAnsi="宋体" w:eastAsia="宋体" w:cs="宋体"/>
          <w:color w:val="auto"/>
          <w:sz w:val="32"/>
          <w:szCs w:val="32"/>
          <w:highlight w:val="none"/>
          <w:u w:val="single"/>
          <w:lang w:val="en-US" w:eastAsia="zh-CN"/>
        </w:rPr>
        <w:t xml:space="preserve">                         </w:t>
      </w:r>
    </w:p>
    <w:p>
      <w:pPr>
        <w:pageBreakBefore w:val="0"/>
        <w:kinsoku/>
        <w:wordWrap/>
        <w:overflowPunct/>
        <w:topLinePunct w:val="0"/>
        <w:autoSpaceDE/>
        <w:autoSpaceDN/>
        <w:bidi w:val="0"/>
        <w:spacing w:line="500" w:lineRule="exact"/>
        <w:ind w:firstLine="960" w:firstLineChars="300"/>
        <w:outlineLvl w:val="0"/>
        <w:rPr>
          <w:rFonts w:hint="eastAsia" w:ascii="宋体" w:hAnsi="宋体" w:eastAsia="宋体" w:cs="宋体"/>
          <w:color w:val="auto"/>
          <w:sz w:val="32"/>
          <w:szCs w:val="32"/>
          <w:highlight w:val="none"/>
          <w:u w:val="single"/>
          <w:lang w:val="en-US" w:eastAsia="zh-CN"/>
        </w:rPr>
      </w:pPr>
      <w:r>
        <w:rPr>
          <w:rFonts w:hint="eastAsia" w:ascii="宋体" w:hAnsi="宋体" w:eastAsia="宋体" w:cs="宋体"/>
          <w:color w:val="auto"/>
          <w:sz w:val="32"/>
          <w:szCs w:val="32"/>
          <w:highlight w:val="none"/>
          <w:u w:val="none"/>
          <w:lang w:val="en-US" w:eastAsia="zh-CN"/>
        </w:rPr>
        <w:t xml:space="preserve">投标人法定代表人（或授权代理人）： </w:t>
      </w:r>
      <w:r>
        <w:rPr>
          <w:rFonts w:hint="eastAsia" w:ascii="宋体" w:hAnsi="宋体" w:eastAsia="宋体" w:cs="宋体"/>
          <w:color w:val="auto"/>
          <w:sz w:val="32"/>
          <w:szCs w:val="32"/>
          <w:highlight w:val="none"/>
          <w:u w:val="single"/>
          <w:lang w:val="en-US" w:eastAsia="zh-CN"/>
        </w:rPr>
        <w:t xml:space="preserve">            </w:t>
      </w:r>
    </w:p>
    <w:p>
      <w:pPr>
        <w:pageBreakBefore w:val="0"/>
        <w:kinsoku/>
        <w:wordWrap/>
        <w:overflowPunct/>
        <w:topLinePunct w:val="0"/>
        <w:autoSpaceDE/>
        <w:autoSpaceDN/>
        <w:bidi w:val="0"/>
        <w:spacing w:line="500" w:lineRule="exact"/>
        <w:ind w:firstLine="960" w:firstLineChars="300"/>
        <w:jc w:val="left"/>
        <w:outlineLvl w:val="0"/>
        <w:rPr>
          <w:rFonts w:hint="eastAsia" w:ascii="宋体" w:hAnsi="宋体" w:eastAsia="宋体" w:cs="宋体"/>
          <w:b/>
          <w:color w:val="auto"/>
          <w:sz w:val="32"/>
          <w:szCs w:val="32"/>
          <w:highlight w:val="none"/>
          <w:lang w:val="en-US"/>
        </w:rPr>
      </w:pPr>
      <w:r>
        <w:rPr>
          <w:rFonts w:hint="eastAsia" w:ascii="宋体" w:hAnsi="宋体" w:eastAsia="宋体" w:cs="宋体"/>
          <w:color w:val="auto"/>
          <w:sz w:val="32"/>
          <w:szCs w:val="32"/>
          <w:highlight w:val="none"/>
          <w:u w:val="none"/>
          <w:lang w:val="en-US" w:eastAsia="zh-CN"/>
        </w:rPr>
        <w:t>联系电话：</w:t>
      </w:r>
      <w:r>
        <w:rPr>
          <w:rFonts w:hint="eastAsia" w:ascii="宋体" w:hAnsi="宋体" w:eastAsia="宋体" w:cs="宋体"/>
          <w:color w:val="auto"/>
          <w:sz w:val="32"/>
          <w:szCs w:val="32"/>
          <w:highlight w:val="none"/>
          <w:u w:val="single"/>
          <w:lang w:val="en-US" w:eastAsia="zh-CN"/>
        </w:rPr>
        <w:t xml:space="preserve">                           </w:t>
      </w:r>
    </w:p>
    <w:p>
      <w:pPr>
        <w:pageBreakBefore w:val="0"/>
        <w:kinsoku/>
        <w:wordWrap/>
        <w:overflowPunct/>
        <w:topLinePunct w:val="0"/>
        <w:autoSpaceDE/>
        <w:autoSpaceDN/>
        <w:bidi w:val="0"/>
        <w:spacing w:line="500" w:lineRule="exact"/>
        <w:ind w:firstLine="1555" w:firstLineChars="486"/>
        <w:rPr>
          <w:rFonts w:hint="eastAsia" w:ascii="宋体" w:hAnsi="宋体" w:eastAsia="宋体" w:cs="宋体"/>
          <w:color w:val="auto"/>
          <w:sz w:val="32"/>
          <w:szCs w:val="32"/>
          <w:highlight w:val="none"/>
        </w:rPr>
      </w:pPr>
    </w:p>
    <w:p>
      <w:pPr>
        <w:pageBreakBefore w:val="0"/>
        <w:kinsoku/>
        <w:wordWrap/>
        <w:overflowPunct/>
        <w:topLinePunct w:val="0"/>
        <w:autoSpaceDE/>
        <w:autoSpaceDN/>
        <w:bidi w:val="0"/>
        <w:spacing w:line="500" w:lineRule="exact"/>
        <w:ind w:firstLine="1555" w:firstLineChars="486"/>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 xml:space="preserve"> </w:t>
      </w:r>
    </w:p>
    <w:p>
      <w:pPr>
        <w:pageBreakBefore w:val="0"/>
        <w:kinsoku/>
        <w:wordWrap/>
        <w:overflowPunct/>
        <w:topLinePunct w:val="0"/>
        <w:autoSpaceDE/>
        <w:autoSpaceDN/>
        <w:bidi w:val="0"/>
        <w:spacing w:line="500" w:lineRule="exact"/>
        <w:ind w:firstLine="3152" w:firstLineChars="985"/>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重庆市黔江中心医院</w:t>
      </w:r>
    </w:p>
    <w:p>
      <w:pPr>
        <w:pageBreakBefore w:val="0"/>
        <w:kinsoku/>
        <w:wordWrap/>
        <w:overflowPunct/>
        <w:topLinePunct w:val="0"/>
        <w:autoSpaceDE/>
        <w:autoSpaceDN/>
        <w:bidi w:val="0"/>
        <w:spacing w:line="500" w:lineRule="exact"/>
        <w:jc w:val="center"/>
        <w:outlineLvl w:val="0"/>
        <w:rPr>
          <w:rFonts w:hint="eastAsia" w:ascii="宋体" w:hAnsi="宋体" w:eastAsia="宋体" w:cs="宋体"/>
          <w:color w:val="auto"/>
          <w:sz w:val="32"/>
          <w:szCs w:val="32"/>
          <w:highlight w:val="none"/>
        </w:rPr>
        <w:sectPr>
          <w:headerReference r:id="rId14" w:type="first"/>
          <w:footerReference r:id="rId17" w:type="first"/>
          <w:headerReference r:id="rId13" w:type="default"/>
          <w:footerReference r:id="rId15" w:type="default"/>
          <w:footerReference r:id="rId16" w:type="even"/>
          <w:pgSz w:w="11907" w:h="16840"/>
          <w:pgMar w:top="1134" w:right="1191" w:bottom="1134" w:left="1304" w:header="851" w:footer="992" w:gutter="0"/>
          <w:pgBorders>
            <w:top w:val="none" w:sz="0" w:space="0"/>
            <w:left w:val="none" w:sz="0" w:space="0"/>
            <w:bottom w:val="none" w:sz="0" w:space="0"/>
            <w:right w:val="none" w:sz="0" w:space="0"/>
          </w:pgBorders>
          <w:pgNumType w:fmt="decimal"/>
          <w:cols w:space="720" w:num="1"/>
          <w:titlePg/>
          <w:docGrid w:linePitch="380" w:charSpace="-5735"/>
        </w:sectPr>
      </w:pPr>
      <w:r>
        <w:rPr>
          <w:rFonts w:hint="eastAsia" w:ascii="宋体" w:hAnsi="宋体" w:eastAsia="宋体" w:cs="宋体"/>
          <w:color w:val="auto"/>
          <w:sz w:val="32"/>
          <w:szCs w:val="32"/>
          <w:highlight w:val="none"/>
          <w:lang w:val="en-US" w:eastAsia="zh-CN"/>
        </w:rPr>
        <w:t>2026</w:t>
      </w:r>
      <w:r>
        <w:rPr>
          <w:rFonts w:hint="eastAsia" w:ascii="宋体" w:hAnsi="宋体" w:eastAsia="宋体" w:cs="宋体"/>
          <w:color w:val="auto"/>
          <w:sz w:val="32"/>
          <w:szCs w:val="32"/>
          <w:highlight w:val="none"/>
        </w:rPr>
        <w:t>年</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月</w:t>
      </w:r>
    </w:p>
    <w:p>
      <w:pPr>
        <w:pStyle w:val="3"/>
        <w:pageBreakBefore w:val="0"/>
        <w:kinsoku/>
        <w:wordWrap/>
        <w:overflowPunct/>
        <w:topLinePunct w:val="0"/>
        <w:autoSpaceDE/>
        <w:autoSpaceDN/>
        <w:bidi w:val="0"/>
        <w:adjustRightInd w:val="0"/>
        <w:snapToGrid w:val="0"/>
        <w:spacing w:before="0" w:after="0" w:line="500" w:lineRule="exact"/>
        <w:ind w:firstLine="480" w:firstLineChars="200"/>
        <w:rPr>
          <w:rFonts w:hint="eastAsia" w:ascii="黑体" w:hAnsi="黑体" w:eastAsia="黑体" w:cs="黑体"/>
          <w:b w:val="0"/>
          <w:bCs/>
          <w:color w:val="auto"/>
          <w:sz w:val="24"/>
          <w:szCs w:val="24"/>
          <w:highlight w:val="none"/>
        </w:rPr>
      </w:pPr>
      <w:bookmarkStart w:id="222" w:name="_Toc17874"/>
      <w:bookmarkStart w:id="223" w:name="_Toc12859"/>
      <w:r>
        <w:rPr>
          <w:rFonts w:hint="eastAsia" w:ascii="黑体" w:hAnsi="黑体" w:eastAsia="黑体" w:cs="黑体"/>
          <w:b w:val="0"/>
          <w:bCs/>
          <w:color w:val="auto"/>
          <w:sz w:val="24"/>
          <w:szCs w:val="24"/>
          <w:highlight w:val="none"/>
        </w:rPr>
        <w:t>一、经济部分</w:t>
      </w:r>
      <w:bookmarkEnd w:id="214"/>
      <w:bookmarkEnd w:id="215"/>
      <w:bookmarkEnd w:id="216"/>
      <w:bookmarkEnd w:id="217"/>
      <w:bookmarkEnd w:id="218"/>
      <w:bookmarkEnd w:id="219"/>
      <w:bookmarkEnd w:id="222"/>
      <w:bookmarkEnd w:id="223"/>
    </w:p>
    <w:bookmarkEnd w:id="220"/>
    <w:bookmarkEnd w:id="221"/>
    <w:p>
      <w:pPr>
        <w:pageBreakBefore w:val="0"/>
        <w:tabs>
          <w:tab w:val="left" w:pos="6300"/>
        </w:tabs>
        <w:kinsoku/>
        <w:wordWrap/>
        <w:overflowPunct/>
        <w:topLinePunct w:val="0"/>
        <w:autoSpaceDE/>
        <w:autoSpaceDN/>
        <w:bidi w:val="0"/>
        <w:snapToGrid w:val="0"/>
        <w:spacing w:line="500" w:lineRule="exact"/>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lang w:val="en-US" w:eastAsia="zh-CN"/>
        </w:rPr>
        <w:t>开标一览表</w:t>
      </w:r>
    </w:p>
    <w:p>
      <w:pPr>
        <w:pageBreakBefore w:val="0"/>
        <w:kinsoku/>
        <w:wordWrap/>
        <w:overflowPunct/>
        <w:topLinePunct w:val="0"/>
        <w:autoSpaceDE/>
        <w:autoSpaceDN/>
        <w:bidi w:val="0"/>
        <w:spacing w:line="500" w:lineRule="exact"/>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开标一览表</w:t>
      </w:r>
    </w:p>
    <w:p>
      <w:pPr>
        <w:pageBreakBefore w:val="0"/>
        <w:tabs>
          <w:tab w:val="left" w:pos="6300"/>
        </w:tabs>
        <w:kinsoku/>
        <w:wordWrap/>
        <w:overflowPunct/>
        <w:topLinePunct w:val="0"/>
        <w:autoSpaceDE/>
        <w:autoSpaceDN/>
        <w:bidi w:val="0"/>
        <w:snapToGrid w:val="0"/>
        <w:spacing w:line="500" w:lineRule="exact"/>
        <w:ind w:firstLine="480" w:firstLineChars="200"/>
        <w:jc w:val="left"/>
        <w:rPr>
          <w:rFonts w:hint="eastAsia" w:ascii="宋体" w:hAnsi="宋体" w:eastAsia="宋体" w:cs="宋体"/>
          <w:b w:val="0"/>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招标项目名称：</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9"/>
        <w:gridCol w:w="7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079"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名称</w:t>
            </w:r>
          </w:p>
        </w:tc>
        <w:tc>
          <w:tcPr>
            <w:tcW w:w="7549"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079"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价格</w:t>
            </w:r>
          </w:p>
        </w:tc>
        <w:tc>
          <w:tcPr>
            <w:tcW w:w="7549"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详见分项报价表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079"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合同期限</w:t>
            </w:r>
          </w:p>
        </w:tc>
        <w:tc>
          <w:tcPr>
            <w:tcW w:w="7549"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自合同签订之日起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079"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供货</w:t>
            </w:r>
            <w:r>
              <w:rPr>
                <w:rFonts w:hint="eastAsia" w:ascii="宋体" w:hAnsi="宋体" w:eastAsia="宋体" w:cs="宋体"/>
                <w:color w:val="auto"/>
                <w:sz w:val="24"/>
                <w:szCs w:val="24"/>
                <w:highlight w:val="none"/>
              </w:rPr>
              <w:t>时间</w:t>
            </w:r>
          </w:p>
        </w:tc>
        <w:tc>
          <w:tcPr>
            <w:tcW w:w="7549"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自接到采购人通知之日起  天之内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exact"/>
          <w:jc w:val="center"/>
        </w:trPr>
        <w:tc>
          <w:tcPr>
            <w:tcW w:w="2079"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w:t>
            </w:r>
          </w:p>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7549"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9628" w:type="dxa"/>
            <w:gridSpan w:val="2"/>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备注： </w:t>
            </w:r>
          </w:p>
        </w:tc>
      </w:tr>
    </w:tbl>
    <w:p>
      <w:pPr>
        <w:pageBreakBefore w:val="0"/>
        <w:tabs>
          <w:tab w:val="left" w:pos="6300"/>
        </w:tabs>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 xml:space="preserve">                                   法定代表人授权代表：</w:t>
      </w:r>
    </w:p>
    <w:p>
      <w:pPr>
        <w:pageBreakBefore w:val="0"/>
        <w:tabs>
          <w:tab w:val="left" w:pos="6300"/>
        </w:tabs>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公章）                               （签字或盖章）</w:t>
      </w:r>
    </w:p>
    <w:p>
      <w:pPr>
        <w:pageBreakBefore w:val="0"/>
        <w:tabs>
          <w:tab w:val="left" w:pos="6300"/>
        </w:tabs>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pPr>
        <w:pageBreakBefore w:val="0"/>
        <w:tabs>
          <w:tab w:val="left" w:pos="2895"/>
        </w:tabs>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p>
    <w:p>
      <w:pPr>
        <w:pageBreakBefore w:val="0"/>
        <w:tabs>
          <w:tab w:val="left" w:pos="2895"/>
        </w:tabs>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p>
    <w:p>
      <w:pPr>
        <w:pageBreakBefore w:val="0"/>
        <w:tabs>
          <w:tab w:val="left" w:pos="2895"/>
        </w:tabs>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p>
    <w:p>
      <w:pPr>
        <w:pageBreakBefore w:val="0"/>
        <w:tabs>
          <w:tab w:val="left" w:pos="2895"/>
        </w:tabs>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p>
    <w:p>
      <w:pPr>
        <w:pageBreakBefore w:val="0"/>
        <w:tabs>
          <w:tab w:val="left" w:pos="2895"/>
        </w:tabs>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p>
    <w:p>
      <w:pPr>
        <w:pageBreakBefore w:val="0"/>
        <w:tabs>
          <w:tab w:val="left" w:pos="2895"/>
        </w:tabs>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p>
    <w:p>
      <w:pPr>
        <w:pageBreakBefore w:val="0"/>
        <w:tabs>
          <w:tab w:val="left" w:pos="2895"/>
        </w:tabs>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sectPr>
          <w:headerReference r:id="rId18" w:type="default"/>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pPr>
    </w:p>
    <w:p>
      <w:pPr>
        <w:pageBreakBefore w:val="0"/>
        <w:tabs>
          <w:tab w:val="left" w:pos="2895"/>
        </w:tabs>
        <w:kinsoku/>
        <w:wordWrap/>
        <w:overflowPunct/>
        <w:topLinePunct w:val="0"/>
        <w:autoSpaceDE/>
        <w:autoSpaceDN/>
        <w:bidi w:val="0"/>
        <w:spacing w:line="500" w:lineRule="exact"/>
        <w:ind w:firstLine="48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（二）</w:t>
      </w:r>
      <w:r>
        <w:rPr>
          <w:rFonts w:hint="eastAsia" w:ascii="宋体" w:hAnsi="宋体" w:eastAsia="宋体" w:cs="宋体"/>
          <w:b/>
          <w:bCs/>
          <w:color w:val="auto"/>
          <w:sz w:val="24"/>
          <w:szCs w:val="24"/>
          <w:highlight w:val="none"/>
          <w:lang w:val="en-US" w:eastAsia="zh-CN"/>
        </w:rPr>
        <w:t>分项</w:t>
      </w:r>
      <w:r>
        <w:rPr>
          <w:rFonts w:hint="eastAsia" w:ascii="宋体" w:hAnsi="宋体" w:eastAsia="宋体" w:cs="宋体"/>
          <w:b/>
          <w:bCs/>
          <w:color w:val="auto"/>
          <w:sz w:val="24"/>
          <w:szCs w:val="24"/>
          <w:highlight w:val="none"/>
        </w:rPr>
        <w:t>报价表</w:t>
      </w:r>
      <w:bookmarkStart w:id="224" w:name="_Toc76462351"/>
      <w:bookmarkStart w:id="225" w:name="_Toc313008357"/>
      <w:bookmarkStart w:id="226" w:name="_Toc106030907"/>
      <w:bookmarkStart w:id="227" w:name="_Toc342913420"/>
      <w:bookmarkStart w:id="228" w:name="_Toc313888361"/>
      <w:bookmarkStart w:id="229" w:name="_Toc25022"/>
      <w:bookmarkStart w:id="230" w:name="_Toc18669"/>
    </w:p>
    <w:p>
      <w:pPr>
        <w:pageBreakBefore w:val="0"/>
        <w:kinsoku/>
        <w:wordWrap/>
        <w:overflowPunct/>
        <w:topLinePunct w:val="0"/>
        <w:autoSpaceDE/>
        <w:autoSpaceDN/>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项目号：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遴选</w:t>
      </w:r>
      <w:r>
        <w:rPr>
          <w:rFonts w:hint="eastAsia" w:ascii="宋体" w:hAnsi="宋体" w:eastAsia="宋体" w:cs="宋体"/>
          <w:color w:val="auto"/>
          <w:sz w:val="24"/>
          <w:szCs w:val="24"/>
          <w:highlight w:val="none"/>
        </w:rPr>
        <w:t>项目名称：</w:t>
      </w:r>
    </w:p>
    <w:tbl>
      <w:tblPr>
        <w:tblStyle w:val="5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1"/>
        <w:gridCol w:w="487"/>
        <w:gridCol w:w="487"/>
        <w:gridCol w:w="487"/>
        <w:gridCol w:w="493"/>
        <w:gridCol w:w="1074"/>
        <w:gridCol w:w="617"/>
        <w:gridCol w:w="590"/>
        <w:gridCol w:w="493"/>
        <w:gridCol w:w="493"/>
        <w:gridCol w:w="493"/>
        <w:gridCol w:w="1071"/>
        <w:gridCol w:w="1004"/>
        <w:gridCol w:w="1349"/>
        <w:gridCol w:w="862"/>
        <w:gridCol w:w="664"/>
        <w:gridCol w:w="564"/>
        <w:gridCol w:w="590"/>
        <w:gridCol w:w="590"/>
        <w:gridCol w:w="936"/>
        <w:gridCol w:w="7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14758" w:type="dxa"/>
            <w:gridSpan w:val="21"/>
            <w:tcBorders>
              <w:top w:val="nil"/>
              <w:left w:val="nil"/>
              <w:bottom w:val="single" w:color="auto" w:sz="4" w:space="0"/>
              <w:right w:val="nil"/>
            </w:tcBorders>
            <w:noWrap/>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500" w:lineRule="exact"/>
              <w:ind w:left="0" w:right="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71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c>
          <w:tcPr>
            <w:tcW w:w="3645" w:type="dxa"/>
            <w:gridSpan w:val="6"/>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耗材（试剂）采购需求明细</w:t>
            </w:r>
          </w:p>
        </w:tc>
        <w:tc>
          <w:tcPr>
            <w:tcW w:w="10402" w:type="dxa"/>
            <w:gridSpan w:val="1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响应耗材（试剂）明细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1" w:hRule="atLeast"/>
          <w:jc w:val="center"/>
        </w:trPr>
        <w:tc>
          <w:tcPr>
            <w:tcW w:w="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原公告目录序列号</w:t>
            </w:r>
          </w:p>
        </w:tc>
        <w:tc>
          <w:tcPr>
            <w:tcW w:w="487"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87"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分类</w:t>
            </w:r>
          </w:p>
        </w:tc>
        <w:tc>
          <w:tcPr>
            <w:tcW w:w="487"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493"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c>
          <w:tcPr>
            <w:tcW w:w="1074"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最高限价（元）</w:t>
            </w:r>
          </w:p>
        </w:tc>
        <w:tc>
          <w:tcPr>
            <w:tcW w:w="617"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参数需求</w:t>
            </w:r>
          </w:p>
        </w:tc>
        <w:tc>
          <w:tcPr>
            <w:tcW w:w="59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注册证名称</w:t>
            </w:r>
          </w:p>
        </w:tc>
        <w:tc>
          <w:tcPr>
            <w:tcW w:w="493"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分类</w:t>
            </w:r>
          </w:p>
        </w:tc>
        <w:tc>
          <w:tcPr>
            <w:tcW w:w="493"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493"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c>
          <w:tcPr>
            <w:tcW w:w="1071"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药交所挂网最低价或其他医院销售价格</w:t>
            </w:r>
          </w:p>
        </w:tc>
        <w:tc>
          <w:tcPr>
            <w:tcW w:w="1004"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报价（元）</w:t>
            </w:r>
          </w:p>
        </w:tc>
        <w:tc>
          <w:tcPr>
            <w:tcW w:w="1349"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药交所挂网27位编码（挂网的需要填编码）</w:t>
            </w:r>
          </w:p>
        </w:tc>
        <w:tc>
          <w:tcPr>
            <w:tcW w:w="862"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网上采购/药交所备案采购</w:t>
            </w:r>
          </w:p>
        </w:tc>
        <w:tc>
          <w:tcPr>
            <w:tcW w:w="664"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生产厂家或品牌</w:t>
            </w:r>
          </w:p>
        </w:tc>
        <w:tc>
          <w:tcPr>
            <w:tcW w:w="564"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注册证号</w:t>
            </w:r>
          </w:p>
        </w:tc>
        <w:tc>
          <w:tcPr>
            <w:tcW w:w="59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注册证效期</w:t>
            </w:r>
          </w:p>
        </w:tc>
        <w:tc>
          <w:tcPr>
            <w:tcW w:w="590" w:type="dxa"/>
            <w:tcBorders>
              <w:top w:val="single" w:color="auto" w:sz="4" w:space="0"/>
              <w:left w:val="nil"/>
              <w:bottom w:val="single" w:color="auto" w:sz="4" w:space="0"/>
              <w:right w:val="single" w:color="auto" w:sz="4" w:space="0"/>
            </w:tcBorders>
            <w:shd w:val="clear" w:color="000000" w:fill="EEECE1"/>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是否能收费</w:t>
            </w:r>
          </w:p>
        </w:tc>
        <w:tc>
          <w:tcPr>
            <w:tcW w:w="936" w:type="dxa"/>
            <w:tcBorders>
              <w:top w:val="single" w:color="auto" w:sz="4" w:space="0"/>
              <w:left w:val="nil"/>
              <w:bottom w:val="single" w:color="auto" w:sz="4" w:space="0"/>
              <w:right w:val="single" w:color="auto" w:sz="4" w:space="0"/>
            </w:tcBorders>
            <w:shd w:val="clear" w:color="000000" w:fill="EEECE1"/>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是否在重庆市医保局耗材目录中</w:t>
            </w:r>
          </w:p>
        </w:tc>
        <w:tc>
          <w:tcPr>
            <w:tcW w:w="70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71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8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w:t>
            </w:r>
          </w:p>
        </w:tc>
        <w:tc>
          <w:tcPr>
            <w:tcW w:w="48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w:t>
            </w:r>
          </w:p>
        </w:tc>
        <w:tc>
          <w:tcPr>
            <w:tcW w:w="48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w:t>
            </w:r>
          </w:p>
        </w:tc>
        <w:tc>
          <w:tcPr>
            <w:tcW w:w="49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w:t>
            </w:r>
          </w:p>
        </w:tc>
        <w:tc>
          <w:tcPr>
            <w:tcW w:w="107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w:t>
            </w:r>
          </w:p>
        </w:tc>
        <w:tc>
          <w:tcPr>
            <w:tcW w:w="61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w:t>
            </w:r>
          </w:p>
        </w:tc>
        <w:tc>
          <w:tcPr>
            <w:tcW w:w="59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w:t>
            </w:r>
          </w:p>
        </w:tc>
        <w:tc>
          <w:tcPr>
            <w:tcW w:w="49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w:t>
            </w:r>
          </w:p>
        </w:tc>
        <w:tc>
          <w:tcPr>
            <w:tcW w:w="49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w:t>
            </w:r>
          </w:p>
        </w:tc>
        <w:tc>
          <w:tcPr>
            <w:tcW w:w="49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w:t>
            </w:r>
          </w:p>
        </w:tc>
        <w:tc>
          <w:tcPr>
            <w:tcW w:w="1071"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w:t>
            </w:r>
          </w:p>
        </w:tc>
        <w:tc>
          <w:tcPr>
            <w:tcW w:w="100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w:t>
            </w:r>
          </w:p>
        </w:tc>
        <w:tc>
          <w:tcPr>
            <w:tcW w:w="134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w:t>
            </w:r>
          </w:p>
        </w:tc>
        <w:tc>
          <w:tcPr>
            <w:tcW w:w="862"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w:t>
            </w:r>
          </w:p>
        </w:tc>
        <w:tc>
          <w:tcPr>
            <w:tcW w:w="664"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w:t>
            </w:r>
          </w:p>
        </w:tc>
        <w:tc>
          <w:tcPr>
            <w:tcW w:w="564"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w:t>
            </w:r>
          </w:p>
        </w:tc>
        <w:tc>
          <w:tcPr>
            <w:tcW w:w="590"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w:t>
            </w:r>
          </w:p>
        </w:tc>
        <w:tc>
          <w:tcPr>
            <w:tcW w:w="590"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w:t>
            </w:r>
          </w:p>
        </w:tc>
        <w:tc>
          <w:tcPr>
            <w:tcW w:w="936"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w:t>
            </w:r>
          </w:p>
        </w:tc>
        <w:tc>
          <w:tcPr>
            <w:tcW w:w="703"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14758" w:type="dxa"/>
            <w:gridSpan w:val="21"/>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投标报价合计（元）：                  大写（人民币）：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14758" w:type="dxa"/>
            <w:gridSpan w:val="21"/>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both"/>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最终</w:t>
            </w:r>
            <w:r>
              <w:rPr>
                <w:rFonts w:hint="eastAsia" w:ascii="宋体" w:hAnsi="宋体" w:cs="宋体"/>
                <w:i w:val="0"/>
                <w:iCs w:val="0"/>
                <w:color w:val="auto"/>
                <w:kern w:val="0"/>
                <w:sz w:val="24"/>
                <w:szCs w:val="24"/>
                <w:highlight w:val="none"/>
                <w:u w:val="none"/>
                <w:lang w:val="en-US" w:eastAsia="zh-CN" w:bidi="ar"/>
              </w:rPr>
              <w:t>（第二次）</w:t>
            </w:r>
            <w:r>
              <w:rPr>
                <w:rFonts w:hint="eastAsia" w:ascii="宋体" w:hAnsi="宋体" w:eastAsia="宋体" w:cs="宋体"/>
                <w:i w:val="0"/>
                <w:iCs w:val="0"/>
                <w:color w:val="auto"/>
                <w:kern w:val="0"/>
                <w:sz w:val="24"/>
                <w:szCs w:val="24"/>
                <w:highlight w:val="none"/>
                <w:u w:val="none"/>
                <w:lang w:val="en-US" w:eastAsia="zh-CN" w:bidi="ar"/>
              </w:rPr>
              <w:t xml:space="preserve">投标报价合计（元）：     </w:t>
            </w:r>
            <w:r>
              <w:rPr>
                <w:rFonts w:hint="eastAsia" w:ascii="宋体" w:hAnsi="宋体" w:cs="宋体"/>
                <w:i w:val="0"/>
                <w:iCs w:val="0"/>
                <w:color w:val="auto"/>
                <w:kern w:val="0"/>
                <w:sz w:val="24"/>
                <w:szCs w:val="24"/>
                <w:highlight w:val="none"/>
                <w:u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大写（人民币）</w:t>
            </w:r>
            <w:r>
              <w:rPr>
                <w:rFonts w:hint="eastAsia" w:ascii="宋体" w:hAnsi="宋体" w:cs="宋体"/>
                <w:i w:val="0"/>
                <w:iCs w:val="0"/>
                <w:color w:val="auto"/>
                <w:kern w:val="0"/>
                <w:sz w:val="24"/>
                <w:szCs w:val="24"/>
                <w:highlight w:val="none"/>
                <w:u w:val="none"/>
                <w:lang w:val="en-US" w:eastAsia="zh-CN" w:bidi="ar"/>
              </w:rPr>
              <w:t xml:space="preserve">：                         </w:t>
            </w:r>
            <w:r>
              <w:rPr>
                <w:rFonts w:hint="eastAsia" w:ascii="宋体" w:hAnsi="宋体" w:cs="宋体"/>
                <w:b/>
                <w:bCs/>
                <w:i w:val="0"/>
                <w:iCs w:val="0"/>
                <w:color w:val="auto"/>
                <w:kern w:val="0"/>
                <w:sz w:val="24"/>
                <w:szCs w:val="24"/>
                <w:highlight w:val="none"/>
                <w:u w:val="none"/>
                <w:lang w:val="en-US" w:eastAsia="zh-CN" w:bidi="ar"/>
              </w:rPr>
              <w:t xml:space="preserve">  </w:t>
            </w:r>
            <w:r>
              <w:rPr>
                <w:rFonts w:hint="eastAsia" w:ascii="黑体" w:hAnsi="黑体" w:eastAsia="黑体" w:cs="黑体"/>
                <w:b/>
                <w:bCs/>
                <w:i w:val="0"/>
                <w:iCs w:val="0"/>
                <w:color w:val="auto"/>
                <w:kern w:val="0"/>
                <w:sz w:val="24"/>
                <w:szCs w:val="24"/>
                <w:highlight w:val="none"/>
                <w:u w:val="none"/>
                <w:lang w:val="en-US" w:eastAsia="zh-CN" w:bidi="ar"/>
              </w:rPr>
              <w:t>特别提醒，本栏为第二次报价时填写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758" w:type="dxa"/>
            <w:gridSpan w:val="21"/>
            <w:vMerge w:val="restart"/>
            <w:tcBorders>
              <w:top w:val="single" w:color="auto" w:sz="4" w:space="0"/>
              <w:left w:val="nil"/>
              <w:right w:val="nil"/>
            </w:tcBorders>
            <w:noWrap/>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500" w:lineRule="exact"/>
              <w:ind w:left="0" w:right="0"/>
              <w:jc w:val="center"/>
              <w:rPr>
                <w:rFonts w:hint="eastAsia" w:ascii="方正黑体_GBK" w:hAnsi="方正黑体_GBK" w:eastAsia="方正黑体_GBK" w:cs="方正黑体_GBK"/>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758" w:type="dxa"/>
            <w:gridSpan w:val="21"/>
            <w:vMerge w:val="continue"/>
            <w:tcBorders>
              <w:top w:val="nil"/>
              <w:left w:val="nil"/>
              <w:bottom w:val="nil"/>
              <w:right w:val="nil"/>
            </w:tcBorders>
            <w:noWrap/>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500" w:lineRule="exact"/>
              <w:ind w:left="0" w:right="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758" w:type="dxa"/>
            <w:gridSpan w:val="21"/>
            <w:vMerge w:val="continue"/>
            <w:tcBorders>
              <w:top w:val="nil"/>
              <w:left w:val="nil"/>
              <w:bottom w:val="nil"/>
              <w:right w:val="nil"/>
            </w:tcBorders>
            <w:noWrap/>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500" w:lineRule="exact"/>
              <w:ind w:left="0" w:right="0"/>
              <w:jc w:val="center"/>
              <w:rPr>
                <w:rFonts w:hint="eastAsia" w:ascii="宋体" w:hAnsi="宋体" w:eastAsia="宋体" w:cs="宋体"/>
                <w:i w:val="0"/>
                <w:iCs w:val="0"/>
                <w:color w:val="auto"/>
                <w:sz w:val="24"/>
                <w:szCs w:val="24"/>
                <w:highlight w:val="none"/>
                <w:u w:val="none"/>
              </w:rPr>
            </w:pPr>
          </w:p>
        </w:tc>
      </w:tr>
    </w:tbl>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注：1.供应商应完整</w:t>
      </w:r>
      <w:r>
        <w:rPr>
          <w:rFonts w:hint="eastAsia" w:ascii="宋体" w:hAnsi="宋体" w:eastAsia="宋体" w:cs="宋体"/>
          <w:color w:val="auto"/>
          <w:sz w:val="24"/>
          <w:szCs w:val="24"/>
          <w:highlight w:val="none"/>
          <w:lang w:eastAsia="zh-CN"/>
        </w:rPr>
        <w:t>准确</w:t>
      </w:r>
      <w:r>
        <w:rPr>
          <w:rFonts w:hint="eastAsia" w:ascii="宋体" w:hAnsi="宋体" w:eastAsia="宋体" w:cs="宋体"/>
          <w:color w:val="auto"/>
          <w:sz w:val="24"/>
          <w:szCs w:val="24"/>
          <w:highlight w:val="none"/>
        </w:rPr>
        <w:t>填写本表</w:t>
      </w:r>
      <w:r>
        <w:rPr>
          <w:rFonts w:hint="eastAsia" w:ascii="宋体" w:hAnsi="宋体" w:eastAsia="宋体" w:cs="宋体"/>
          <w:color w:val="auto"/>
          <w:sz w:val="24"/>
          <w:szCs w:val="24"/>
          <w:highlight w:val="none"/>
          <w:lang w:eastAsia="zh-CN"/>
        </w:rPr>
        <w:t>，否则视为无效投标。</w:t>
      </w:r>
    </w:p>
    <w:p>
      <w:pPr>
        <w:keepNext w:val="0"/>
        <w:keepLines w:val="0"/>
        <w:pageBreakBefore w:val="0"/>
        <w:widowControl w:val="0"/>
        <w:numPr>
          <w:ilvl w:val="0"/>
          <w:numId w:val="20"/>
        </w:numPr>
        <w:kinsoku/>
        <w:wordWrap/>
        <w:overflowPunct/>
        <w:topLinePunct w:val="0"/>
        <w:autoSpaceDE/>
        <w:autoSpaceDN/>
        <w:bidi w:val="0"/>
        <w:adjustRightInd/>
        <w:snapToGrid w:val="0"/>
        <w:spacing w:line="400" w:lineRule="exact"/>
        <w:ind w:left="9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该表可扩展</w:t>
      </w:r>
      <w:bookmarkStart w:id="231" w:name="OLE_LINK2"/>
      <w:bookmarkStart w:id="232" w:name="OLE_LINK1"/>
      <w:r>
        <w:rPr>
          <w:rFonts w:hint="eastAsia" w:ascii="宋体" w:hAnsi="宋体" w:eastAsia="宋体" w:cs="宋体"/>
          <w:color w:val="auto"/>
          <w:sz w:val="24"/>
          <w:szCs w:val="24"/>
          <w:highlight w:val="none"/>
        </w:rPr>
        <w:t>。</w:t>
      </w:r>
      <w:bookmarkEnd w:id="231"/>
      <w:bookmarkEnd w:id="232"/>
    </w:p>
    <w:p>
      <w:pPr>
        <w:keepNext w:val="0"/>
        <w:keepLines w:val="0"/>
        <w:pageBreakBefore w:val="0"/>
        <w:widowControl w:val="0"/>
        <w:numPr>
          <w:ilvl w:val="0"/>
          <w:numId w:val="20"/>
        </w:numPr>
        <w:kinsoku/>
        <w:wordWrap/>
        <w:overflowPunct/>
        <w:topLinePunct w:val="0"/>
        <w:autoSpaceDE/>
        <w:autoSpaceDN/>
        <w:bidi w:val="0"/>
        <w:adjustRightInd/>
        <w:snapToGrid w:val="0"/>
        <w:spacing w:line="400" w:lineRule="exact"/>
        <w:ind w:left="96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耗材（试剂）采购需求明细和序号与原公告中的信息一致，不能更改。</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val="0"/>
        <w:spacing w:line="400" w:lineRule="exact"/>
        <w:ind w:left="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供应商名称（公章）或自然人签署：</w:t>
      </w:r>
    </w:p>
    <w:p>
      <w:pPr>
        <w:keepNext w:val="0"/>
        <w:keepLines w:val="0"/>
        <w:pageBreakBefore w:val="0"/>
        <w:widowControl w:val="0"/>
        <w:kinsoku/>
        <w:wordWrap/>
        <w:overflowPunct/>
        <w:topLinePunct w:val="0"/>
        <w:autoSpaceDE/>
        <w:autoSpaceDN/>
        <w:bidi w:val="0"/>
        <w:adjustRightInd/>
        <w:spacing w:line="400" w:lineRule="exact"/>
        <w:ind w:right="480" w:firstLine="6480" w:firstLineChars="2700"/>
        <w:textAlignment w:val="auto"/>
        <w:rPr>
          <w:rFonts w:hint="eastAsia" w:ascii="宋体" w:hAnsi="宋体" w:eastAsia="宋体" w:cs="宋体"/>
          <w:color w:val="auto"/>
          <w:sz w:val="24"/>
          <w:szCs w:val="24"/>
          <w:highlight w:val="none"/>
        </w:rPr>
        <w:sectPr>
          <w:pgSz w:w="16840" w:h="11907" w:orient="landscape"/>
          <w:pgMar w:top="1304" w:right="1134" w:bottom="1191" w:left="1134" w:header="851" w:footer="992" w:gutter="0"/>
          <w:pgBorders>
            <w:top w:val="none" w:sz="0" w:space="0"/>
            <w:left w:val="none" w:sz="0" w:space="0"/>
            <w:bottom w:val="none" w:sz="0" w:space="0"/>
            <w:right w:val="none" w:sz="0" w:space="0"/>
          </w:pgBorders>
          <w:pgNumType w:fmt="numberInDash"/>
          <w:cols w:space="720" w:num="1"/>
          <w:docGrid w:linePitch="380" w:charSpace="-5735"/>
        </w:sectPr>
      </w:pPr>
      <w:r>
        <w:rPr>
          <w:rFonts w:hint="eastAsia" w:ascii="宋体" w:hAnsi="宋体" w:eastAsia="宋体" w:cs="宋体"/>
          <w:color w:val="auto"/>
          <w:sz w:val="24"/>
          <w:szCs w:val="24"/>
          <w:highlight w:val="none"/>
        </w:rPr>
        <w:t>年     月    日</w:t>
      </w:r>
    </w:p>
    <w:p>
      <w:pPr>
        <w:pStyle w:val="3"/>
        <w:pageBreakBefore w:val="0"/>
        <w:kinsoku/>
        <w:wordWrap/>
        <w:overflowPunct/>
        <w:topLinePunct w:val="0"/>
        <w:autoSpaceDE/>
        <w:autoSpaceDN/>
        <w:bidi w:val="0"/>
        <w:adjustRightInd w:val="0"/>
        <w:snapToGrid w:val="0"/>
        <w:spacing w:before="0" w:after="0" w:line="500" w:lineRule="exact"/>
        <w:ind w:firstLine="480" w:firstLineChars="200"/>
        <w:rPr>
          <w:rFonts w:hint="eastAsia" w:ascii="黑体" w:hAnsi="黑体" w:eastAsia="黑体" w:cs="黑体"/>
          <w:b w:val="0"/>
          <w:bCs/>
          <w:color w:val="auto"/>
          <w:sz w:val="24"/>
          <w:szCs w:val="24"/>
          <w:highlight w:val="none"/>
        </w:rPr>
      </w:pPr>
      <w:bookmarkStart w:id="233" w:name="_Toc966"/>
      <w:r>
        <w:rPr>
          <w:rFonts w:hint="eastAsia" w:ascii="黑体" w:hAnsi="黑体" w:eastAsia="黑体" w:cs="黑体"/>
          <w:b w:val="0"/>
          <w:bCs/>
          <w:color w:val="auto"/>
          <w:sz w:val="24"/>
          <w:szCs w:val="24"/>
          <w:highlight w:val="none"/>
        </w:rPr>
        <w:t>二、服务部分</w:t>
      </w:r>
      <w:bookmarkEnd w:id="224"/>
      <w:bookmarkEnd w:id="225"/>
      <w:bookmarkEnd w:id="226"/>
      <w:bookmarkEnd w:id="227"/>
      <w:bookmarkEnd w:id="228"/>
      <w:bookmarkEnd w:id="229"/>
      <w:bookmarkEnd w:id="230"/>
      <w:bookmarkEnd w:id="233"/>
    </w:p>
    <w:p>
      <w:pPr>
        <w:pageBreakBefore w:val="0"/>
        <w:tabs>
          <w:tab w:val="left" w:pos="6300"/>
        </w:tabs>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（一）服务响应偏离表</w:t>
      </w:r>
    </w:p>
    <w:p>
      <w:pPr>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项目号：                                </w:t>
      </w:r>
    </w:p>
    <w:p>
      <w:pPr>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967"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tc>
        <w:tc>
          <w:tcPr>
            <w:tcW w:w="3081"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2309"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2967"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3081"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提醒：请注明技术参数或具体内容以及响应文件中技术参数或具体内容的位置（页码）</w:t>
            </w:r>
          </w:p>
        </w:tc>
        <w:tc>
          <w:tcPr>
            <w:tcW w:w="2309"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2967"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3081"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2309"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2967"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3081"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2309"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2967"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3081"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2309"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2967"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3081"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2309"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2967"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3081"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2309"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2967"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3081"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2309"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2967"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3081"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2309"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2967"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3081"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2309"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2967"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3081"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2309"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r>
    </w:tbl>
    <w:p>
      <w:pPr>
        <w:pageBreakBefore w:val="0"/>
        <w:kinsoku/>
        <w:wordWrap/>
        <w:overflowPunct/>
        <w:topLinePunct w:val="0"/>
        <w:autoSpaceDE/>
        <w:autoSpaceDN/>
        <w:bidi w:val="0"/>
        <w:spacing w:line="50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                            法定代表人（或其授权代表）或自然人：</w:t>
      </w:r>
    </w:p>
    <w:p>
      <w:pPr>
        <w:pageBreakBefore w:val="0"/>
        <w:kinsoku/>
        <w:wordWrap/>
        <w:overflowPunct/>
        <w:topLinePunct w:val="0"/>
        <w:autoSpaceDE/>
        <w:autoSpaceDN/>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ageBreakBefore w:val="0"/>
        <w:kinsoku/>
        <w:wordWrap/>
        <w:overflowPunct/>
        <w:topLinePunct w:val="0"/>
        <w:autoSpaceDE/>
        <w:autoSpaceDN/>
        <w:bidi w:val="0"/>
        <w:spacing w:line="5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                               （签署或盖章）</w:t>
      </w: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pPr>
        <w:pageBreakBefore w:val="0"/>
        <w:tabs>
          <w:tab w:val="left" w:pos="6300"/>
        </w:tabs>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pageBreakBefore w:val="0"/>
        <w:tabs>
          <w:tab w:val="left" w:pos="6300"/>
        </w:tabs>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1.本表即为对本项目“第二篇  项目服务需求”中所列条款进行比较和响应；</w:t>
      </w:r>
    </w:p>
    <w:p>
      <w:pPr>
        <w:pageBreakBefore w:val="0"/>
        <w:kinsoku/>
        <w:wordWrap/>
        <w:overflowPunct/>
        <w:topLinePunct w:val="0"/>
        <w:autoSpaceDE/>
        <w:autoSpaceDN/>
        <w:bidi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2.本表可扩展。</w:t>
      </w:r>
    </w:p>
    <w:p>
      <w:pPr>
        <w:pageBreakBefore w:val="0"/>
        <w:tabs>
          <w:tab w:val="left" w:pos="6300"/>
        </w:tabs>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（二）其他资料（格式自定）</w:t>
      </w:r>
    </w:p>
    <w:p>
      <w:pPr>
        <w:pStyle w:val="3"/>
        <w:pageBreakBefore w:val="0"/>
        <w:kinsoku/>
        <w:wordWrap/>
        <w:overflowPunct/>
        <w:topLinePunct w:val="0"/>
        <w:autoSpaceDE/>
        <w:autoSpaceDN/>
        <w:bidi w:val="0"/>
        <w:adjustRightInd w:val="0"/>
        <w:snapToGrid w:val="0"/>
        <w:spacing w:before="0" w:after="0"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br w:type="page"/>
      </w:r>
      <w:bookmarkStart w:id="234" w:name="_Toc30639"/>
      <w:bookmarkStart w:id="235" w:name="_Toc106030908"/>
      <w:bookmarkStart w:id="236" w:name="_Toc76462352"/>
      <w:bookmarkStart w:id="237" w:name="_Toc342913421"/>
      <w:bookmarkStart w:id="238" w:name="_Toc313008358"/>
      <w:bookmarkStart w:id="239" w:name="_Toc313888362"/>
      <w:bookmarkStart w:id="240" w:name="_Toc21617"/>
      <w:bookmarkStart w:id="241" w:name="_Toc12500"/>
      <w:r>
        <w:rPr>
          <w:rFonts w:hint="eastAsia" w:ascii="黑体" w:hAnsi="黑体" w:eastAsia="黑体" w:cs="黑体"/>
          <w:b w:val="0"/>
          <w:bCs/>
          <w:color w:val="auto"/>
          <w:sz w:val="24"/>
          <w:szCs w:val="24"/>
          <w:highlight w:val="none"/>
        </w:rPr>
        <w:t>三、商务部分</w:t>
      </w:r>
      <w:bookmarkEnd w:id="234"/>
      <w:bookmarkEnd w:id="235"/>
      <w:bookmarkEnd w:id="236"/>
      <w:bookmarkEnd w:id="237"/>
      <w:bookmarkEnd w:id="238"/>
      <w:bookmarkEnd w:id="239"/>
      <w:bookmarkEnd w:id="240"/>
      <w:bookmarkEnd w:id="241"/>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（一）商务响应偏离表</w:t>
      </w:r>
    </w:p>
    <w:p>
      <w:pPr>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项目号：                                </w:t>
      </w:r>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w:t>
      </w:r>
    </w:p>
    <w:tbl>
      <w:tblPr>
        <w:tblStyle w:val="5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500" w:lineRule="exact"/>
              <w:ind w:left="0" w:right="0"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79"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项目商务需求</w:t>
            </w:r>
          </w:p>
        </w:tc>
        <w:tc>
          <w:tcPr>
            <w:tcW w:w="2434"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2355"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3179"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2434"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提醒：请注明具体内容以及响应文件中具体内容的位置（页码）</w:t>
            </w:r>
          </w:p>
        </w:tc>
        <w:tc>
          <w:tcPr>
            <w:tcW w:w="2355"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3179"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2434"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2355"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3179"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2434"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2355"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3179"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2434"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2355"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3179"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2434"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2355"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3179"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2434"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2355"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r>
    </w:tbl>
    <w:p>
      <w:pPr>
        <w:pageBreakBefore w:val="0"/>
        <w:kinsoku/>
        <w:wordWrap/>
        <w:overflowPunct/>
        <w:topLinePunct w:val="0"/>
        <w:autoSpaceDE/>
        <w:autoSpaceDN/>
        <w:bidi w:val="0"/>
        <w:snapToGrid w:val="0"/>
        <w:spacing w:line="500" w:lineRule="exact"/>
        <w:ind w:firstLine="465"/>
        <w:rPr>
          <w:rFonts w:hint="eastAsia" w:ascii="宋体" w:hAnsi="宋体" w:eastAsia="宋体" w:cs="宋体"/>
          <w:color w:val="auto"/>
          <w:sz w:val="24"/>
          <w:szCs w:val="24"/>
          <w:highlight w:val="none"/>
        </w:rPr>
      </w:pPr>
    </w:p>
    <w:p>
      <w:pPr>
        <w:pageBreakBefore w:val="0"/>
        <w:kinsoku/>
        <w:wordWrap/>
        <w:overflowPunct/>
        <w:topLinePunct w:val="0"/>
        <w:autoSpaceDE/>
        <w:autoSpaceDN/>
        <w:bidi w:val="0"/>
        <w:spacing w:line="50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                          法定代表人（或其授权代表）或自然人：</w:t>
      </w:r>
    </w:p>
    <w:p>
      <w:pPr>
        <w:pageBreakBefore w:val="0"/>
        <w:kinsoku/>
        <w:wordWrap/>
        <w:overflowPunct/>
        <w:topLinePunct w:val="0"/>
        <w:autoSpaceDE/>
        <w:autoSpaceDN/>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ageBreakBefore w:val="0"/>
        <w:kinsoku/>
        <w:wordWrap/>
        <w:overflowPunct/>
        <w:topLinePunct w:val="0"/>
        <w:autoSpaceDE/>
        <w:autoSpaceDN/>
        <w:bidi w:val="0"/>
        <w:spacing w:line="5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                                 （签署或盖章）</w:t>
      </w: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pPr>
        <w:pageBreakBefore w:val="0"/>
        <w:tabs>
          <w:tab w:val="left" w:pos="6300"/>
        </w:tabs>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pageBreakBefore w:val="0"/>
        <w:tabs>
          <w:tab w:val="left" w:pos="6300"/>
        </w:tabs>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1.本表即为对本项目“第三篇  项目商务需求”中所列条款进行比较和响应；</w:t>
      </w:r>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b/>
          <w:color w:val="auto"/>
          <w:sz w:val="24"/>
          <w:szCs w:val="24"/>
          <w:highlight w:val="none"/>
        </w:rPr>
        <w:sectPr>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pPr>
      <w:r>
        <w:rPr>
          <w:rFonts w:hint="eastAsia" w:ascii="宋体" w:hAnsi="宋体" w:eastAsia="宋体" w:cs="宋体"/>
          <w:color w:val="auto"/>
          <w:sz w:val="24"/>
          <w:szCs w:val="24"/>
          <w:highlight w:val="none"/>
        </w:rPr>
        <w:t>2.本表可扩展。</w:t>
      </w:r>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bookmarkStart w:id="242" w:name="_Toc283382459"/>
      <w:r>
        <w:rPr>
          <w:rFonts w:hint="eastAsia" w:ascii="宋体" w:hAnsi="宋体" w:eastAsia="宋体" w:cs="宋体"/>
          <w:color w:val="auto"/>
          <w:sz w:val="24"/>
          <w:szCs w:val="24"/>
          <w:highlight w:val="none"/>
        </w:rPr>
        <w:t>（二）其它优惠承诺（格式自定）</w:t>
      </w:r>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p>
    <w:p>
      <w:pPr>
        <w:pStyle w:val="3"/>
        <w:pageBreakBefore w:val="0"/>
        <w:kinsoku/>
        <w:wordWrap/>
        <w:overflowPunct/>
        <w:topLinePunct w:val="0"/>
        <w:autoSpaceDE/>
        <w:autoSpaceDN/>
        <w:bidi w:val="0"/>
        <w:adjustRightInd w:val="0"/>
        <w:snapToGrid w:val="0"/>
        <w:spacing w:before="0" w:after="0"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End w:id="242"/>
      <w:bookmarkStart w:id="243" w:name="_Toc313008359"/>
      <w:bookmarkStart w:id="244" w:name="_Toc16937"/>
      <w:bookmarkStart w:id="245" w:name="_Toc342913422"/>
      <w:bookmarkStart w:id="246" w:name="_Toc106030909"/>
      <w:bookmarkStart w:id="247" w:name="_Toc26948"/>
      <w:bookmarkStart w:id="248" w:name="_Toc313888363"/>
      <w:bookmarkStart w:id="249" w:name="_Toc76462353"/>
      <w:bookmarkStart w:id="250" w:name="_Toc31944"/>
      <w:r>
        <w:rPr>
          <w:rFonts w:hint="eastAsia" w:ascii="黑体" w:hAnsi="黑体" w:eastAsia="黑体" w:cs="黑体"/>
          <w:b w:val="0"/>
          <w:bCs/>
          <w:color w:val="auto"/>
          <w:sz w:val="24"/>
          <w:szCs w:val="24"/>
          <w:highlight w:val="none"/>
        </w:rPr>
        <w:t>四、资格条件</w:t>
      </w:r>
      <w:bookmarkEnd w:id="243"/>
      <w:bookmarkEnd w:id="244"/>
      <w:bookmarkEnd w:id="245"/>
      <w:bookmarkEnd w:id="246"/>
      <w:bookmarkEnd w:id="247"/>
      <w:bookmarkEnd w:id="248"/>
      <w:bookmarkEnd w:id="249"/>
      <w:bookmarkEnd w:id="250"/>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（二）法定代表人身份证明书（格式）</w:t>
      </w: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lang w:eastAsia="zh-CN"/>
        </w:rPr>
        <w:t>重庆市黔江中心医院</w:t>
      </w:r>
      <w:r>
        <w:rPr>
          <w:rFonts w:hint="eastAsia" w:ascii="宋体" w:hAnsi="宋体" w:eastAsia="宋体" w:cs="宋体"/>
          <w:color w:val="auto"/>
          <w:sz w:val="24"/>
          <w:szCs w:val="24"/>
          <w:highlight w:val="none"/>
        </w:rPr>
        <w:t>：</w:t>
      </w: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（法定代表人姓名）在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（职务名称）职务，是（</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的法定代表人。</w:t>
      </w: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w:t>
      </w: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法定代表人电话：XXXXXXX      电子邮箱：XXXXXX@XXXXX（若授权他人办理并签署响应文件的可不填写）</w:t>
      </w: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（附：法定代表人身份证正反面复印件）</w:t>
      </w: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column"/>
      </w:r>
      <w:r>
        <w:rPr>
          <w:rFonts w:hint="eastAsia" w:ascii="宋体" w:hAnsi="宋体" w:eastAsia="宋体" w:cs="宋体"/>
          <w:color w:val="auto"/>
          <w:sz w:val="24"/>
          <w:szCs w:val="24"/>
          <w:highlight w:val="none"/>
        </w:rPr>
        <w:t>（三）法定代表人授权委托书（格式）</w:t>
      </w: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ageBreakBefore w:val="0"/>
        <w:tabs>
          <w:tab w:val="left" w:pos="6300"/>
        </w:tabs>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lang w:eastAsia="zh-CN"/>
        </w:rPr>
        <w:t>重庆市黔江中心医院</w:t>
      </w:r>
      <w:r>
        <w:rPr>
          <w:rFonts w:hint="eastAsia" w:ascii="宋体" w:hAnsi="宋体" w:eastAsia="宋体" w:cs="宋体"/>
          <w:color w:val="auto"/>
          <w:sz w:val="24"/>
          <w:szCs w:val="24"/>
          <w:highlight w:val="none"/>
        </w:rPr>
        <w:t>：</w:t>
      </w:r>
    </w:p>
    <w:p>
      <w:pPr>
        <w:pageBreakBefore w:val="0"/>
        <w:tabs>
          <w:tab w:val="left" w:pos="6300"/>
        </w:tabs>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法定代表人名称）是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名称）的法定代表人，特授权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（被授权人姓名及身份证代码）代表我单位全权办理上述项目的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、签约等具体工作，并签署全部有关文件、协议及合同。</w:t>
      </w:r>
    </w:p>
    <w:p>
      <w:pPr>
        <w:pageBreakBefore w:val="0"/>
        <w:tabs>
          <w:tab w:val="left" w:pos="6300"/>
        </w:tabs>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我单位对被授权人的签署负全部责任。</w:t>
      </w:r>
    </w:p>
    <w:p>
      <w:pPr>
        <w:pageBreakBefore w:val="0"/>
        <w:tabs>
          <w:tab w:val="left" w:pos="6300"/>
        </w:tabs>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在撤销授权的书面通知以前，本授权书一直有效。被授权人在授权书有效期内签署的所有文件不因授权的撤销而失效。</w:t>
      </w: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法定代表人：</w:t>
      </w: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（签署或盖章）                                （签署或盖章）</w:t>
      </w: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（附：被授权人身份证正反面复印件）</w:t>
      </w: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right="480" w:firstLine="57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w:t>
      </w:r>
    </w:p>
    <w:p>
      <w:pPr>
        <w:pageBreakBefore w:val="0"/>
        <w:tabs>
          <w:tab w:val="left" w:pos="6300"/>
        </w:tabs>
        <w:kinsoku/>
        <w:wordWrap/>
        <w:overflowPunct/>
        <w:topLinePunct w:val="0"/>
        <w:autoSpaceDE/>
        <w:autoSpaceDN/>
        <w:bidi w:val="0"/>
        <w:snapToGrid w:val="0"/>
        <w:spacing w:line="500" w:lineRule="exact"/>
        <w:ind w:right="480" w:firstLine="57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pageBreakBefore w:val="0"/>
        <w:tabs>
          <w:tab w:val="left" w:pos="6300"/>
        </w:tabs>
        <w:kinsoku/>
        <w:wordWrap/>
        <w:overflowPunct/>
        <w:topLinePunct w:val="0"/>
        <w:autoSpaceDE/>
        <w:autoSpaceDN/>
        <w:bidi w:val="0"/>
        <w:snapToGrid w:val="0"/>
        <w:spacing w:line="500" w:lineRule="exact"/>
        <w:ind w:right="480" w:firstLine="57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被授权人电话：XXXXXXX     电子邮箱：XXXXXX@XXXXX（若法定代表人办理并签署响应文件的可不填写）</w:t>
      </w:r>
    </w:p>
    <w:p>
      <w:pPr>
        <w:pageBreakBefore w:val="0"/>
        <w:tabs>
          <w:tab w:val="left" w:pos="6300"/>
        </w:tabs>
        <w:kinsoku/>
        <w:wordWrap/>
        <w:overflowPunct/>
        <w:topLinePunct w:val="0"/>
        <w:autoSpaceDE/>
        <w:autoSpaceDN/>
        <w:bidi w:val="0"/>
        <w:snapToGrid w:val="0"/>
        <w:spacing w:line="500" w:lineRule="exact"/>
        <w:ind w:right="480" w:firstLine="57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pageBreakBefore w:val="0"/>
        <w:tabs>
          <w:tab w:val="left" w:pos="6300"/>
        </w:tabs>
        <w:kinsoku/>
        <w:wordWrap/>
        <w:overflowPunct/>
        <w:topLinePunct w:val="0"/>
        <w:autoSpaceDE/>
        <w:autoSpaceDN/>
        <w:bidi w:val="0"/>
        <w:snapToGrid w:val="0"/>
        <w:spacing w:line="500" w:lineRule="exact"/>
        <w:ind w:right="480" w:firstLine="57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1.若为法定代表人办理并签署响应文件的，不提供此文件。</w:t>
      </w: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2.若为联合体参与的，法定代表人授权委托书由联合体主办方</w:t>
      </w:r>
      <w:r>
        <w:rPr>
          <w:rFonts w:hint="eastAsia" w:ascii="宋体" w:hAnsi="宋体" w:eastAsia="宋体" w:cs="宋体"/>
          <w:color w:val="auto"/>
          <w:kern w:val="0"/>
          <w:sz w:val="24"/>
          <w:szCs w:val="24"/>
          <w:highlight w:val="none"/>
        </w:rPr>
        <w:t>（主体）</w:t>
      </w:r>
      <w:r>
        <w:rPr>
          <w:rFonts w:hint="eastAsia" w:ascii="宋体" w:hAnsi="宋体" w:eastAsia="宋体" w:cs="宋体"/>
          <w:color w:val="auto"/>
          <w:sz w:val="24"/>
          <w:szCs w:val="24"/>
          <w:highlight w:val="none"/>
        </w:rPr>
        <w:t>出具。</w:t>
      </w:r>
    </w:p>
    <w:p>
      <w:pPr>
        <w:pageBreakBefore w:val="0"/>
        <w:widowControl/>
        <w:kinsoku/>
        <w:wordWrap/>
        <w:overflowPunct/>
        <w:topLinePunct w:val="0"/>
        <w:autoSpaceDE/>
        <w:autoSpaceDN/>
        <w:bidi w:val="0"/>
        <w:spacing w:line="5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column"/>
      </w: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val="en-US" w:eastAsia="zh-CN"/>
        </w:rPr>
        <w:t>投标函（格式）</w:t>
      </w:r>
    </w:p>
    <w:p>
      <w:pPr>
        <w:pageBreakBefore w:val="0"/>
        <w:tabs>
          <w:tab w:val="left" w:pos="6300"/>
        </w:tabs>
        <w:kinsoku/>
        <w:wordWrap/>
        <w:overflowPunct/>
        <w:topLinePunct w:val="0"/>
        <w:autoSpaceDE/>
        <w:autoSpaceDN/>
        <w:bidi w:val="0"/>
        <w:snapToGrid w:val="0"/>
        <w:spacing w:before="0" w:beforeLines="0" w:line="500" w:lineRule="exact"/>
        <w:ind w:firstLine="555"/>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投标函</w:t>
      </w:r>
    </w:p>
    <w:p>
      <w:pPr>
        <w:pageBreakBefore w:val="0"/>
        <w:tabs>
          <w:tab w:val="left" w:pos="6300"/>
        </w:tabs>
        <w:kinsoku/>
        <w:wordWrap/>
        <w:overflowPunct/>
        <w:topLinePunct w:val="0"/>
        <w:autoSpaceDE/>
        <w:autoSpaceDN/>
        <w:bidi w:val="0"/>
        <w:snapToGrid w:val="0"/>
        <w:spacing w:line="500" w:lineRule="exact"/>
        <w:ind w:firstLine="555"/>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firstLine="55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eastAsia="zh-CN"/>
        </w:rPr>
        <w:t>重庆市黔江中心医院</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w:t>
      </w:r>
    </w:p>
    <w:p>
      <w:pPr>
        <w:pageBreakBefore w:val="0"/>
        <w:tabs>
          <w:tab w:val="left" w:pos="6300"/>
        </w:tabs>
        <w:kinsoku/>
        <w:wordWrap/>
        <w:overflowPunct/>
        <w:topLinePunct w:val="0"/>
        <w:autoSpaceDE/>
        <w:autoSpaceDN/>
        <w:bidi w:val="0"/>
        <w:snapToGrid w:val="0"/>
        <w:spacing w:before="0" w:beforeLines="0" w:line="500" w:lineRule="exact"/>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投标单位</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rPr>
        <w:t>系中华人民共和国合法企业，注册地址：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。我方就参加本次投标有关事项郑重声明如下：</w:t>
      </w:r>
    </w:p>
    <w:p>
      <w:pPr>
        <w:pageBreakBefore w:val="0"/>
        <w:tabs>
          <w:tab w:val="left" w:pos="6300"/>
        </w:tabs>
        <w:kinsoku/>
        <w:wordWrap/>
        <w:overflowPunct/>
        <w:topLinePunct w:val="0"/>
        <w:autoSpaceDE/>
        <w:autoSpaceDN/>
        <w:bidi w:val="0"/>
        <w:snapToGrid w:val="0"/>
        <w:spacing w:line="500" w:lineRule="exact"/>
        <w:ind w:firstLine="556"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一、我方完全理解并接受该项目招标文件所有要求。</w:t>
      </w:r>
    </w:p>
    <w:p>
      <w:pPr>
        <w:pageBreakBefore w:val="0"/>
        <w:tabs>
          <w:tab w:val="left" w:pos="6300"/>
        </w:tabs>
        <w:kinsoku/>
        <w:wordWrap/>
        <w:overflowPunct/>
        <w:topLinePunct w:val="0"/>
        <w:autoSpaceDE/>
        <w:autoSpaceDN/>
        <w:bidi w:val="0"/>
        <w:snapToGrid w:val="0"/>
        <w:spacing w:line="500" w:lineRule="exact"/>
        <w:ind w:firstLine="556"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二、我方完全满足该项目招标公告和邀标书中提出的合格</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基本资格条件，如有虚假或隐瞒，我方愿意承担一切法律责任。</w:t>
      </w:r>
    </w:p>
    <w:p>
      <w:pPr>
        <w:pageBreakBefore w:val="0"/>
        <w:tabs>
          <w:tab w:val="left" w:pos="6300"/>
        </w:tabs>
        <w:kinsoku/>
        <w:wordWrap/>
        <w:overflowPunct/>
        <w:topLinePunct w:val="0"/>
        <w:autoSpaceDE/>
        <w:autoSpaceDN/>
        <w:bidi w:val="0"/>
        <w:snapToGrid w:val="0"/>
        <w:spacing w:line="500" w:lineRule="exact"/>
        <w:ind w:firstLine="556"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三、我方提交的所有投标文件、资料都是准确和真实的，如有虚假或隐瞒，我方愿意承担一切法律责任。</w:t>
      </w:r>
    </w:p>
    <w:p>
      <w:pPr>
        <w:pageBreakBefore w:val="0"/>
        <w:tabs>
          <w:tab w:val="left" w:pos="6300"/>
        </w:tabs>
        <w:kinsoku/>
        <w:wordWrap/>
        <w:overflowPunct/>
        <w:topLinePunct w:val="0"/>
        <w:autoSpaceDE/>
        <w:autoSpaceDN/>
        <w:bidi w:val="0"/>
        <w:snapToGrid w:val="0"/>
        <w:spacing w:line="500" w:lineRule="exact"/>
        <w:ind w:firstLine="556"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四、我方承诺按照招标文件要求，提供招标项目的技术服务。</w:t>
      </w:r>
    </w:p>
    <w:p>
      <w:pPr>
        <w:pageBreakBefore w:val="0"/>
        <w:tabs>
          <w:tab w:val="left" w:pos="6300"/>
        </w:tabs>
        <w:kinsoku/>
        <w:wordWrap/>
        <w:overflowPunct/>
        <w:topLinePunct w:val="0"/>
        <w:autoSpaceDE/>
        <w:autoSpaceDN/>
        <w:bidi w:val="0"/>
        <w:snapToGrid w:val="0"/>
        <w:spacing w:line="500" w:lineRule="exact"/>
        <w:ind w:firstLine="556"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五、我方按招标文件要求提交的投标文件为：投标文件正本1份，副本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pPr>
        <w:pageBreakBefore w:val="0"/>
        <w:tabs>
          <w:tab w:val="left" w:pos="6300"/>
        </w:tabs>
        <w:kinsoku/>
        <w:wordWrap/>
        <w:overflowPunct/>
        <w:topLinePunct w:val="0"/>
        <w:autoSpaceDE/>
        <w:autoSpaceDN/>
        <w:bidi w:val="0"/>
        <w:snapToGrid w:val="0"/>
        <w:spacing w:line="500" w:lineRule="exact"/>
        <w:ind w:firstLine="556"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六、如果我方中标，我方将履行招标文件中规定的各项要求以及我方投标文件的各项承诺，按《政府采购法》、《</w:t>
      </w:r>
      <w:r>
        <w:rPr>
          <w:rFonts w:hint="eastAsia" w:ascii="宋体" w:hAnsi="宋体" w:eastAsia="宋体" w:cs="宋体"/>
          <w:color w:val="auto"/>
          <w:sz w:val="24"/>
          <w:szCs w:val="24"/>
          <w:highlight w:val="none"/>
          <w:lang w:val="en-US" w:eastAsia="zh-CN"/>
        </w:rPr>
        <w:t>民法典</w:t>
      </w:r>
      <w:r>
        <w:rPr>
          <w:rFonts w:hint="eastAsia" w:ascii="宋体" w:hAnsi="宋体" w:eastAsia="宋体" w:cs="宋体"/>
          <w:color w:val="auto"/>
          <w:sz w:val="24"/>
          <w:szCs w:val="24"/>
          <w:highlight w:val="none"/>
        </w:rPr>
        <w:t>》及合同约定条款承担我方责任。</w:t>
      </w:r>
    </w:p>
    <w:p>
      <w:pPr>
        <w:pageBreakBefore w:val="0"/>
        <w:tabs>
          <w:tab w:val="left" w:pos="6300"/>
        </w:tabs>
        <w:kinsoku/>
        <w:wordWrap/>
        <w:overflowPunct/>
        <w:topLinePunct w:val="0"/>
        <w:autoSpaceDE/>
        <w:autoSpaceDN/>
        <w:bidi w:val="0"/>
        <w:snapToGrid w:val="0"/>
        <w:spacing w:line="500" w:lineRule="exact"/>
        <w:ind w:firstLine="556"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七、我方未为采购项目提供整体设计、规范编制或者项目管理、监理、检测等服务。</w:t>
      </w:r>
    </w:p>
    <w:p>
      <w:pPr>
        <w:pageBreakBefore w:val="0"/>
        <w:tabs>
          <w:tab w:val="left" w:pos="6300"/>
        </w:tabs>
        <w:kinsoku/>
        <w:wordWrap/>
        <w:overflowPunct/>
        <w:topLinePunct w:val="0"/>
        <w:autoSpaceDE/>
        <w:autoSpaceDN/>
        <w:bidi w:val="0"/>
        <w:snapToGrid w:val="0"/>
        <w:spacing w:line="500" w:lineRule="exact"/>
        <w:ind w:firstLine="556"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八、我方完全理解并接受贵方不一定要接受最低报价的投标或收到的任何投标。</w:t>
      </w:r>
    </w:p>
    <w:p>
      <w:pPr>
        <w:pageBreakBefore w:val="0"/>
        <w:tabs>
          <w:tab w:val="left" w:pos="6300"/>
        </w:tabs>
        <w:kinsoku/>
        <w:wordWrap/>
        <w:overflowPunct/>
        <w:topLinePunct w:val="0"/>
        <w:autoSpaceDE/>
        <w:autoSpaceDN/>
        <w:bidi w:val="0"/>
        <w:snapToGrid w:val="0"/>
        <w:spacing w:line="500" w:lineRule="exact"/>
        <w:ind w:firstLine="556"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九、我方同意按有关规定及招标文件要求，缴纳足额投标保证金。</w:t>
      </w:r>
    </w:p>
    <w:p>
      <w:pPr>
        <w:pageBreakBefore w:val="0"/>
        <w:tabs>
          <w:tab w:val="left" w:pos="6300"/>
        </w:tabs>
        <w:kinsoku/>
        <w:wordWrap/>
        <w:overflowPunct/>
        <w:topLinePunct w:val="0"/>
        <w:autoSpaceDE/>
        <w:autoSpaceDN/>
        <w:bidi w:val="0"/>
        <w:snapToGrid w:val="0"/>
        <w:spacing w:line="500" w:lineRule="exact"/>
        <w:ind w:firstLine="556"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十、在正式合同准备好和签字前，本投标书及贵方的中标通知书将构成约束我们双方的合同。</w:t>
      </w:r>
    </w:p>
    <w:p>
      <w:pPr>
        <w:pageBreakBefore w:val="0"/>
        <w:tabs>
          <w:tab w:val="left" w:pos="6300"/>
        </w:tabs>
        <w:kinsoku/>
        <w:wordWrap/>
        <w:overflowPunct/>
        <w:topLinePunct w:val="0"/>
        <w:autoSpaceDE/>
        <w:autoSpaceDN/>
        <w:bidi w:val="0"/>
        <w:snapToGrid w:val="0"/>
        <w:spacing w:line="500" w:lineRule="exact"/>
        <w:ind w:firstLine="556"/>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firstLine="556" w:firstLineChars="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公章）</w:t>
      </w:r>
    </w:p>
    <w:p>
      <w:pPr>
        <w:pageBreakBefore w:val="0"/>
        <w:tabs>
          <w:tab w:val="left" w:pos="6300"/>
        </w:tabs>
        <w:kinsoku/>
        <w:wordWrap/>
        <w:overflowPunct/>
        <w:topLinePunct w:val="0"/>
        <w:autoSpaceDE/>
        <w:autoSpaceDN/>
        <w:bidi w:val="0"/>
        <w:snapToGrid w:val="0"/>
        <w:spacing w:line="500" w:lineRule="exact"/>
        <w:ind w:firstLine="556"/>
        <w:jc w:val="right"/>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firstLine="556" w:firstLineChars="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p>
    <w:p>
      <w:pPr>
        <w:pStyle w:val="105"/>
        <w:pageBreakBefore w:val="0"/>
        <w:kinsoku/>
        <w:wordWrap/>
        <w:overflowPunct/>
        <w:topLinePunct w:val="0"/>
        <w:autoSpaceDE/>
        <w:autoSpaceDN/>
        <w:bidi w:val="0"/>
        <w:spacing w:line="500" w:lineRule="exact"/>
        <w:rPr>
          <w:rFonts w:hint="eastAsia" w:ascii="宋体" w:hAnsi="宋体" w:eastAsia="宋体" w:cs="宋体"/>
          <w:color w:val="auto"/>
          <w:sz w:val="24"/>
          <w:szCs w:val="24"/>
          <w:highlight w:val="none"/>
        </w:rPr>
      </w:pPr>
    </w:p>
    <w:p>
      <w:pPr>
        <w:pStyle w:val="106"/>
        <w:pageBreakBefore w:val="0"/>
        <w:kinsoku/>
        <w:wordWrap/>
        <w:overflowPunct/>
        <w:topLinePunct w:val="0"/>
        <w:autoSpaceDE/>
        <w:autoSpaceDN/>
        <w:bidi w:val="0"/>
        <w:spacing w:line="500" w:lineRule="exact"/>
        <w:rPr>
          <w:rFonts w:hint="eastAsia" w:ascii="宋体" w:hAnsi="宋体" w:eastAsia="宋体" w:cs="宋体"/>
          <w:color w:val="auto"/>
          <w:sz w:val="24"/>
          <w:szCs w:val="24"/>
          <w:highlight w:val="none"/>
        </w:rPr>
      </w:pPr>
    </w:p>
    <w:p>
      <w:pPr>
        <w:pStyle w:val="106"/>
        <w:pageBreakBefore w:val="0"/>
        <w:kinsoku/>
        <w:wordWrap/>
        <w:overflowPunct/>
        <w:topLinePunct w:val="0"/>
        <w:autoSpaceDE/>
        <w:autoSpaceDN/>
        <w:bidi w:val="0"/>
        <w:spacing w:line="500" w:lineRule="exact"/>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）基本资格条件承诺函</w:t>
      </w:r>
    </w:p>
    <w:p>
      <w:pPr>
        <w:pageBreakBefore w:val="0"/>
        <w:tabs>
          <w:tab w:val="left" w:pos="6300"/>
        </w:tabs>
        <w:kinsoku/>
        <w:wordWrap/>
        <w:overflowPunct/>
        <w:topLinePunct w:val="0"/>
        <w:autoSpaceDE/>
        <w:autoSpaceDN/>
        <w:bidi w:val="0"/>
        <w:snapToGrid w:val="0"/>
        <w:spacing w:line="500" w:lineRule="exact"/>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基本资格条件承诺函</w:t>
      </w:r>
    </w:p>
    <w:p>
      <w:pPr>
        <w:pageBreakBefore w:val="0"/>
        <w:tabs>
          <w:tab w:val="left" w:pos="6300"/>
        </w:tabs>
        <w:kinsoku/>
        <w:wordWrap/>
        <w:overflowPunct/>
        <w:topLinePunct w:val="0"/>
        <w:autoSpaceDE/>
        <w:autoSpaceDN/>
        <w:bidi w:val="0"/>
        <w:snapToGrid w:val="0"/>
        <w:spacing w:line="500" w:lineRule="exact"/>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lang w:eastAsia="zh-CN"/>
        </w:rPr>
        <w:t>重庆市黔江中心医院</w:t>
      </w:r>
      <w:r>
        <w:rPr>
          <w:rFonts w:hint="eastAsia" w:ascii="宋体" w:hAnsi="宋体" w:eastAsia="宋体" w:cs="宋体"/>
          <w:color w:val="auto"/>
          <w:sz w:val="24"/>
          <w:szCs w:val="24"/>
          <w:highlight w:val="none"/>
        </w:rPr>
        <w:t>：</w:t>
      </w:r>
    </w:p>
    <w:p>
      <w:pPr>
        <w:pageBreakBefore w:val="0"/>
        <w:tabs>
          <w:tab w:val="left" w:pos="6300"/>
        </w:tabs>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名称）郑重承诺：</w:t>
      </w:r>
    </w:p>
    <w:p>
      <w:pPr>
        <w:pageBreakBefore w:val="0"/>
        <w:tabs>
          <w:tab w:val="left" w:pos="6300"/>
        </w:tabs>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1.我方具有良好的商业信誉和健全的财务会计制度，具有履行合同所必需的设备和专业技术能力，具</w:t>
      </w:r>
      <w:r>
        <w:rPr>
          <w:rFonts w:hint="eastAsia" w:ascii="宋体" w:hAnsi="宋体" w:eastAsia="宋体" w:cs="宋体"/>
          <w:color w:val="auto"/>
          <w:sz w:val="24"/>
          <w:szCs w:val="24"/>
          <w:highlight w:val="none"/>
          <w:lang w:val="zh-CN"/>
        </w:rPr>
        <w:t>有依法缴纳税收和社会保障金的良好记录</w:t>
      </w:r>
      <w:r>
        <w:rPr>
          <w:rFonts w:hint="eastAsia" w:ascii="宋体" w:hAnsi="宋体" w:eastAsia="宋体" w:cs="宋体"/>
          <w:color w:val="auto"/>
          <w:sz w:val="24"/>
          <w:szCs w:val="24"/>
          <w:highlight w:val="none"/>
        </w:rPr>
        <w:t>，参加本项目采购活动前三年内无重大违法活动记录。</w:t>
      </w:r>
    </w:p>
    <w:p>
      <w:pPr>
        <w:pageBreakBefore w:val="0"/>
        <w:tabs>
          <w:tab w:val="left" w:pos="6300"/>
        </w:tabs>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pPr>
        <w:pageBreakBefore w:val="0"/>
        <w:tabs>
          <w:tab w:val="left" w:pos="6300"/>
        </w:tabs>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3.我方在采购项目评审（评标）环节结束后，随时接受采购人、采购代理机构的检查验证，配合提供相关证明材料，证明符合《中华人民共和国政府采购法》规定的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基本资格条件。</w:t>
      </w:r>
    </w:p>
    <w:p>
      <w:pPr>
        <w:pageBreakBefore w:val="0"/>
        <w:tabs>
          <w:tab w:val="left" w:pos="6300"/>
        </w:tabs>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我方对以上承诺负全部法律责任。</w:t>
      </w:r>
    </w:p>
    <w:p>
      <w:pPr>
        <w:pageBreakBefore w:val="0"/>
        <w:tabs>
          <w:tab w:val="left" w:pos="6300"/>
        </w:tabs>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pPr>
        <w:pageBreakBefore w:val="0"/>
        <w:tabs>
          <w:tab w:val="left" w:pos="6300"/>
        </w:tabs>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w:t>
      </w:r>
    </w:p>
    <w:p>
      <w:pPr>
        <w:pageBreakBefore w:val="0"/>
        <w:tabs>
          <w:tab w:val="left" w:pos="6300"/>
        </w:tabs>
        <w:kinsoku/>
        <w:wordWrap/>
        <w:overflowPunct/>
        <w:topLinePunct w:val="0"/>
        <w:autoSpaceDE/>
        <w:autoSpaceDN/>
        <w:bidi w:val="0"/>
        <w:snapToGrid w:val="0"/>
        <w:spacing w:line="500" w:lineRule="exact"/>
        <w:ind w:firstLine="7920" w:firstLineChars="3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）特定资格条件证明文件</w:t>
      </w:r>
    </w:p>
    <w:p>
      <w:pPr>
        <w:pageBreakBefore w:val="0"/>
        <w:tabs>
          <w:tab w:val="left" w:pos="6300"/>
        </w:tabs>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p>
    <w:p>
      <w:pPr>
        <w:pStyle w:val="3"/>
        <w:pageBreakBefore w:val="0"/>
        <w:kinsoku/>
        <w:wordWrap/>
        <w:overflowPunct/>
        <w:topLinePunct w:val="0"/>
        <w:autoSpaceDE/>
        <w:autoSpaceDN/>
        <w:bidi w:val="0"/>
        <w:adjustRightInd w:val="0"/>
        <w:snapToGrid w:val="0"/>
        <w:spacing w:before="0" w:after="0" w:line="500" w:lineRule="exact"/>
        <w:ind w:firstLine="480" w:firstLineChars="200"/>
        <w:rPr>
          <w:rFonts w:hint="eastAsia" w:ascii="宋体" w:hAnsi="宋体" w:eastAsia="宋体" w:cs="宋体"/>
          <w:color w:val="auto"/>
          <w:sz w:val="24"/>
          <w:szCs w:val="24"/>
          <w:highlight w:val="none"/>
        </w:rPr>
      </w:pPr>
      <w:bookmarkStart w:id="251" w:name="_Toc14422"/>
      <w:r>
        <w:rPr>
          <w:rFonts w:hint="eastAsia" w:ascii="宋体" w:hAnsi="宋体" w:eastAsia="宋体" w:cs="宋体"/>
          <w:b w:val="0"/>
          <w:color w:val="auto"/>
          <w:sz w:val="24"/>
          <w:szCs w:val="24"/>
          <w:highlight w:val="none"/>
        </w:rPr>
        <w:br w:type="page"/>
      </w:r>
      <w:bookmarkStart w:id="252" w:name="_Toc106030910"/>
      <w:bookmarkStart w:id="253" w:name="_Toc7160"/>
      <w:bookmarkStart w:id="254" w:name="_Toc76462354"/>
      <w:bookmarkStart w:id="255" w:name="_Toc8805"/>
      <w:bookmarkStart w:id="256" w:name="_Toc14081"/>
      <w:r>
        <w:rPr>
          <w:rFonts w:hint="eastAsia" w:ascii="黑体" w:hAnsi="黑体" w:eastAsia="黑体" w:cs="黑体"/>
          <w:b w:val="0"/>
          <w:bCs/>
          <w:color w:val="auto"/>
          <w:sz w:val="24"/>
          <w:szCs w:val="24"/>
          <w:highlight w:val="none"/>
        </w:rPr>
        <w:t>五、其他资料</w:t>
      </w:r>
      <w:bookmarkEnd w:id="251"/>
      <w:bookmarkEnd w:id="252"/>
      <w:bookmarkEnd w:id="253"/>
      <w:bookmarkEnd w:id="254"/>
      <w:bookmarkEnd w:id="255"/>
      <w:bookmarkEnd w:id="256"/>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）联合体协议或分包意向协议（格式自定）</w:t>
      </w:r>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）其他与项目有关的资料</w:t>
      </w:r>
    </w:p>
    <w:p>
      <w:pPr>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其他与项目有关的资料（自附）：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总体情况介绍、其他与本项目有关的资料等。</w:t>
      </w:r>
    </w:p>
    <w:p>
      <w:pPr>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p>
    <w:p>
      <w:pPr>
        <w:pageBreakBefore w:val="0"/>
        <w:kinsoku/>
        <w:wordWrap/>
        <w:overflowPunct/>
        <w:topLinePunct w:val="0"/>
        <w:autoSpaceDE/>
        <w:autoSpaceDN/>
        <w:bidi w:val="0"/>
        <w:spacing w:line="500" w:lineRule="exact"/>
        <w:ind w:firstLine="480" w:firstLineChars="200"/>
        <w:jc w:val="center"/>
        <w:rPr>
          <w:rFonts w:hint="eastAsia" w:ascii="宋体" w:hAnsi="宋体" w:eastAsia="宋体" w:cs="宋体"/>
          <w:color w:val="auto"/>
          <w:sz w:val="24"/>
          <w:szCs w:val="24"/>
          <w:highlight w:val="none"/>
        </w:rPr>
      </w:pPr>
    </w:p>
    <w:p>
      <w:pPr>
        <w:pageBreakBefore w:val="0"/>
        <w:kinsoku/>
        <w:wordWrap/>
        <w:overflowPunct/>
        <w:topLinePunct w:val="0"/>
        <w:autoSpaceDE/>
        <w:autoSpaceDN/>
        <w:bidi w:val="0"/>
        <w:spacing w:line="500" w:lineRule="exact"/>
        <w:ind w:firstLine="480" w:firstLineChars="200"/>
        <w:jc w:val="center"/>
        <w:rPr>
          <w:rFonts w:hint="eastAsia" w:ascii="宋体" w:hAnsi="宋体" w:eastAsia="宋体" w:cs="宋体"/>
          <w:color w:val="auto"/>
          <w:sz w:val="24"/>
          <w:szCs w:val="24"/>
          <w:highlight w:val="none"/>
        </w:rPr>
      </w:pPr>
    </w:p>
    <w:p>
      <w:pPr>
        <w:pageBreakBefore w:val="0"/>
        <w:kinsoku/>
        <w:wordWrap/>
        <w:overflowPunct/>
        <w:topLinePunct w:val="0"/>
        <w:autoSpaceDE/>
        <w:autoSpaceDN/>
        <w:bidi w:val="0"/>
        <w:spacing w:line="500" w:lineRule="exact"/>
        <w:ind w:firstLine="480" w:firstLineChars="200"/>
        <w:jc w:val="center"/>
        <w:rPr>
          <w:rFonts w:hint="eastAsia" w:ascii="宋体" w:hAnsi="宋体" w:eastAsia="宋体" w:cs="宋体"/>
          <w:color w:val="auto"/>
          <w:sz w:val="24"/>
          <w:szCs w:val="24"/>
          <w:highlight w:val="none"/>
        </w:rPr>
      </w:pPr>
    </w:p>
    <w:p>
      <w:pPr>
        <w:pageBreakBefore w:val="0"/>
        <w:kinsoku/>
        <w:wordWrap/>
        <w:overflowPunct/>
        <w:topLinePunct w:val="0"/>
        <w:autoSpaceDE/>
        <w:autoSpaceDN/>
        <w:bidi w:val="0"/>
        <w:spacing w:line="500" w:lineRule="exact"/>
        <w:ind w:firstLine="480" w:firstLineChars="200"/>
        <w:jc w:val="center"/>
        <w:rPr>
          <w:rFonts w:hint="eastAsia" w:ascii="宋体" w:hAnsi="宋体" w:eastAsia="宋体" w:cs="宋体"/>
          <w:color w:val="auto"/>
          <w:sz w:val="24"/>
          <w:szCs w:val="24"/>
          <w:highlight w:val="none"/>
        </w:rPr>
      </w:pPr>
    </w:p>
    <w:p>
      <w:pPr>
        <w:pageBreakBefore w:val="0"/>
        <w:kinsoku/>
        <w:wordWrap/>
        <w:overflowPunct/>
        <w:topLinePunct w:val="0"/>
        <w:autoSpaceDE/>
        <w:autoSpaceDN/>
        <w:bidi w:val="0"/>
        <w:spacing w:line="500" w:lineRule="exact"/>
        <w:ind w:firstLine="480" w:firstLineChars="200"/>
        <w:jc w:val="center"/>
        <w:rPr>
          <w:rFonts w:hint="eastAsia" w:ascii="宋体" w:hAnsi="宋体" w:eastAsia="宋体" w:cs="宋体"/>
          <w:color w:val="auto"/>
          <w:sz w:val="24"/>
          <w:szCs w:val="24"/>
          <w:highlight w:val="none"/>
        </w:rPr>
      </w:pPr>
    </w:p>
    <w:p>
      <w:pPr>
        <w:pageBreakBefore w:val="0"/>
        <w:kinsoku/>
        <w:wordWrap/>
        <w:overflowPunct/>
        <w:topLinePunct w:val="0"/>
        <w:autoSpaceDE/>
        <w:autoSpaceDN/>
        <w:bidi w:val="0"/>
        <w:spacing w:line="500" w:lineRule="exact"/>
        <w:ind w:firstLine="480" w:firstLineChars="200"/>
        <w:jc w:val="center"/>
        <w:rPr>
          <w:rFonts w:hint="eastAsia" w:ascii="宋体" w:hAnsi="宋体" w:eastAsia="宋体" w:cs="宋体"/>
          <w:color w:val="auto"/>
          <w:sz w:val="24"/>
          <w:szCs w:val="24"/>
          <w:highlight w:val="none"/>
        </w:rPr>
      </w:pPr>
    </w:p>
    <w:p>
      <w:pPr>
        <w:pageBreakBefore w:val="0"/>
        <w:kinsoku/>
        <w:wordWrap/>
        <w:overflowPunct/>
        <w:topLinePunct w:val="0"/>
        <w:autoSpaceDE/>
        <w:autoSpaceDN/>
        <w:bidi w:val="0"/>
        <w:spacing w:line="500" w:lineRule="exact"/>
        <w:ind w:firstLine="480" w:firstLineChars="200"/>
        <w:jc w:val="center"/>
        <w:rPr>
          <w:rFonts w:hint="eastAsia" w:ascii="宋体" w:hAnsi="宋体" w:eastAsia="宋体" w:cs="宋体"/>
          <w:color w:val="auto"/>
          <w:sz w:val="24"/>
          <w:szCs w:val="24"/>
          <w:highlight w:val="none"/>
        </w:rPr>
      </w:pPr>
    </w:p>
    <w:p>
      <w:pPr>
        <w:pageBreakBefore w:val="0"/>
        <w:kinsoku/>
        <w:wordWrap/>
        <w:overflowPunct/>
        <w:topLinePunct w:val="0"/>
        <w:autoSpaceDE/>
        <w:autoSpaceDN/>
        <w:bidi w:val="0"/>
        <w:spacing w:line="500" w:lineRule="exact"/>
        <w:ind w:firstLine="480" w:firstLineChars="200"/>
        <w:jc w:val="center"/>
        <w:rPr>
          <w:rFonts w:hint="eastAsia" w:ascii="宋体" w:hAnsi="宋体" w:eastAsia="宋体" w:cs="宋体"/>
          <w:color w:val="auto"/>
          <w:sz w:val="24"/>
          <w:szCs w:val="24"/>
          <w:highlight w:val="none"/>
        </w:rPr>
      </w:pPr>
    </w:p>
    <w:p>
      <w:pPr>
        <w:pageBreakBefore w:val="0"/>
        <w:kinsoku/>
        <w:wordWrap/>
        <w:overflowPunct/>
        <w:topLinePunct w:val="0"/>
        <w:autoSpaceDE/>
        <w:autoSpaceDN/>
        <w:bidi w:val="0"/>
        <w:spacing w:line="500" w:lineRule="exact"/>
        <w:ind w:firstLine="480" w:firstLineChars="200"/>
        <w:jc w:val="center"/>
        <w:rPr>
          <w:rFonts w:hint="eastAsia" w:ascii="宋体" w:hAnsi="宋体" w:eastAsia="宋体" w:cs="宋体"/>
          <w:color w:val="auto"/>
          <w:sz w:val="24"/>
          <w:szCs w:val="24"/>
          <w:highlight w:val="none"/>
        </w:rPr>
      </w:pPr>
    </w:p>
    <w:p>
      <w:pPr>
        <w:pageBreakBefore w:val="0"/>
        <w:kinsoku/>
        <w:wordWrap/>
        <w:overflowPunct/>
        <w:topLinePunct w:val="0"/>
        <w:autoSpaceDE/>
        <w:autoSpaceDN/>
        <w:bidi w:val="0"/>
        <w:spacing w:line="500" w:lineRule="exact"/>
        <w:ind w:firstLine="480" w:firstLineChars="200"/>
        <w:jc w:val="center"/>
        <w:rPr>
          <w:rFonts w:hint="eastAsia" w:ascii="宋体" w:hAnsi="宋体" w:eastAsia="宋体" w:cs="宋体"/>
          <w:color w:val="auto"/>
          <w:sz w:val="24"/>
          <w:szCs w:val="24"/>
          <w:highlight w:val="none"/>
        </w:rPr>
      </w:pPr>
    </w:p>
    <w:p>
      <w:pPr>
        <w:pageBreakBefore w:val="0"/>
        <w:kinsoku/>
        <w:wordWrap/>
        <w:overflowPunct/>
        <w:topLinePunct w:val="0"/>
        <w:autoSpaceDE/>
        <w:autoSpaceDN/>
        <w:bidi w:val="0"/>
        <w:spacing w:line="500" w:lineRule="exact"/>
        <w:ind w:firstLine="480" w:firstLineChars="200"/>
        <w:jc w:val="center"/>
        <w:rPr>
          <w:rFonts w:hint="eastAsia" w:ascii="宋体" w:hAnsi="宋体" w:eastAsia="宋体" w:cs="宋体"/>
          <w:color w:val="auto"/>
          <w:sz w:val="24"/>
          <w:szCs w:val="24"/>
          <w:highlight w:val="none"/>
        </w:rPr>
      </w:pPr>
    </w:p>
    <w:p>
      <w:pPr>
        <w:pageBreakBefore w:val="0"/>
        <w:kinsoku/>
        <w:wordWrap/>
        <w:overflowPunct/>
        <w:topLinePunct w:val="0"/>
        <w:autoSpaceDE/>
        <w:autoSpaceDN/>
        <w:bidi w:val="0"/>
        <w:spacing w:line="500" w:lineRule="exact"/>
        <w:ind w:firstLine="480" w:firstLineChars="200"/>
        <w:jc w:val="center"/>
        <w:rPr>
          <w:rFonts w:hint="eastAsia" w:ascii="宋体" w:hAnsi="宋体" w:eastAsia="宋体" w:cs="宋体"/>
          <w:color w:val="auto"/>
          <w:sz w:val="24"/>
          <w:szCs w:val="24"/>
          <w:highlight w:val="none"/>
        </w:rPr>
      </w:pPr>
    </w:p>
    <w:p>
      <w:pPr>
        <w:pageBreakBefore w:val="0"/>
        <w:kinsoku/>
        <w:wordWrap/>
        <w:overflowPunct/>
        <w:topLinePunct w:val="0"/>
        <w:autoSpaceDE/>
        <w:autoSpaceDN/>
        <w:bidi w:val="0"/>
        <w:spacing w:line="500" w:lineRule="exact"/>
        <w:ind w:firstLine="480" w:firstLineChars="200"/>
        <w:jc w:val="center"/>
        <w:rPr>
          <w:rFonts w:hint="eastAsia" w:ascii="宋体" w:hAnsi="宋体" w:eastAsia="宋体" w:cs="宋体"/>
          <w:color w:val="auto"/>
          <w:sz w:val="24"/>
          <w:szCs w:val="24"/>
          <w:highlight w:val="none"/>
        </w:rPr>
      </w:pPr>
    </w:p>
    <w:p>
      <w:pPr>
        <w:pageBreakBefore w:val="0"/>
        <w:kinsoku/>
        <w:wordWrap/>
        <w:overflowPunct/>
        <w:topLinePunct w:val="0"/>
        <w:autoSpaceDE/>
        <w:autoSpaceDN/>
        <w:bidi w:val="0"/>
        <w:spacing w:line="500" w:lineRule="exact"/>
        <w:ind w:firstLine="480" w:firstLineChars="200"/>
        <w:jc w:val="center"/>
        <w:rPr>
          <w:rFonts w:hint="eastAsia" w:ascii="宋体" w:hAnsi="宋体" w:eastAsia="宋体" w:cs="宋体"/>
          <w:color w:val="auto"/>
          <w:sz w:val="24"/>
          <w:szCs w:val="24"/>
          <w:highlight w:val="none"/>
        </w:rPr>
      </w:pPr>
    </w:p>
    <w:p>
      <w:pPr>
        <w:pageBreakBefore w:val="0"/>
        <w:kinsoku/>
        <w:wordWrap/>
        <w:overflowPunct/>
        <w:topLinePunct w:val="0"/>
        <w:autoSpaceDE/>
        <w:autoSpaceDN/>
        <w:bidi w:val="0"/>
        <w:spacing w:line="500" w:lineRule="exact"/>
        <w:ind w:firstLine="480" w:firstLineChars="200"/>
        <w:jc w:val="center"/>
        <w:rPr>
          <w:rFonts w:hint="eastAsia" w:ascii="宋体" w:hAnsi="宋体" w:eastAsia="宋体" w:cs="宋体"/>
          <w:color w:val="auto"/>
          <w:sz w:val="24"/>
          <w:szCs w:val="24"/>
          <w:highlight w:val="none"/>
        </w:rPr>
      </w:pPr>
    </w:p>
    <w:p>
      <w:pPr>
        <w:pageBreakBefore w:val="0"/>
        <w:kinsoku/>
        <w:wordWrap/>
        <w:overflowPunct/>
        <w:topLinePunct w:val="0"/>
        <w:autoSpaceDE/>
        <w:autoSpaceDN/>
        <w:bidi w:val="0"/>
        <w:spacing w:line="500" w:lineRule="exact"/>
        <w:ind w:firstLine="480" w:firstLineChars="200"/>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（结束）</w:t>
      </w:r>
    </w:p>
    <w:sectPr>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MingLiU">
    <w:panose1 w:val="02020500000000000000"/>
    <w:charset w:val="88"/>
    <w:family w:val="roma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2000009F" w:csb1="DFD70000"/>
  </w:font>
  <w:font w:name="Verdana">
    <w:panose1 w:val="020B0604030504040204"/>
    <w:charset w:val="00"/>
    <w:family w:val="swiss"/>
    <w:pitch w:val="default"/>
    <w:sig w:usb0="A10006FF" w:usb1="4000205B" w:usb2="00000010" w:usb3="00000000" w:csb0="2000019F" w:csb1="00000000"/>
  </w:font>
  <w:font w:name="文鼎粗黑">
    <w:altName w:val="黑体"/>
    <w:panose1 w:val="020B0609010101010101"/>
    <w:charset w:val="86"/>
    <w:family w:val="modern"/>
    <w:pitch w:val="default"/>
    <w:sig w:usb0="00000000" w:usb1="00000000" w:usb2="00000010" w:usb3="00000000" w:csb0="00040000" w:csb1="00000000"/>
  </w:font>
  <w:font w:name="昆仑楷体">
    <w:altName w:val="宋体"/>
    <w:panose1 w:val="0201060900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_x000B__x000C_">
    <w:altName w:val="Times New Roman"/>
    <w:panose1 w:val="00000000000000000000"/>
    <w:charset w:val="00"/>
    <w:family w:val="roman"/>
    <w:pitch w:val="default"/>
    <w:sig w:usb0="00000000" w:usb1="00000000" w:usb2="00000000" w:usb3="00000000" w:csb0="00000001"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jc w:val="center"/>
      <w:rPr>
        <w:rStyle w:val="61"/>
        <w:rFonts w:hint="eastAsia" w:ascii="宋体"/>
        <w:sz w:val="21"/>
        <w:szCs w:val="21"/>
      </w:rPr>
    </w:pPr>
    <w:r>
      <w:rPr>
        <w:rFonts w:ascii="宋体"/>
        <w:sz w:val="21"/>
        <w:szCs w:val="2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- 5 -</w:t>
    </w:r>
    <w:r>
      <w:rPr>
        <w:rFonts w:ascii="宋体"/>
        <w:sz w:val="21"/>
        <w:szCs w:val="21"/>
      </w:rPr>
      <w:fldChar w:fldCharType="end"/>
    </w:r>
  </w:p>
  <w:p>
    <w:pPr>
      <w:pStyle w:val="3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1"/>
      </w:rPr>
    </w:pPr>
    <w:r>
      <w:fldChar w:fldCharType="begin"/>
    </w:r>
    <w:r>
      <w:rPr>
        <w:rStyle w:val="61"/>
      </w:rPr>
      <w:instrText xml:space="preserve">PAGE  </w:instrText>
    </w:r>
    <w:r>
      <w:fldChar w:fldCharType="separate"/>
    </w:r>
    <w:r>
      <w:fldChar w:fldCharType="end"/>
    </w:r>
  </w:p>
  <w:p>
    <w:pPr>
      <w:pStyle w:val="35"/>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rPr>
        <w:rStyle w:val="61"/>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5"/>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pPr>
                      <w:pStyle w:val="35"/>
                    </w:pPr>
                    <w:r>
                      <w:fldChar w:fldCharType="begin"/>
                    </w:r>
                    <w:r>
                      <w:instrText xml:space="preserve"> PAGE  \* MERGEFORMAT </w:instrText>
                    </w:r>
                    <w:r>
                      <w:fldChar w:fldCharType="separate"/>
                    </w:r>
                    <w:r>
                      <w:t>18</w:t>
                    </w:r>
                    <w:r>
                      <w:fldChar w:fldCharType="end"/>
                    </w:r>
                  </w:p>
                </w:txbxContent>
              </v:textbox>
            </v:shape>
          </w:pict>
        </mc:Fallback>
      </mc:AlternateContent>
    </w:r>
  </w:p>
  <w:p>
    <w:pPr>
      <w:pStyle w:val="35"/>
      <w:rPr>
        <w:rFonts w:hint="eastAsia" w:ascii="宋体" w:hAnsi="宋体"/>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1"/>
      </w:rPr>
    </w:pPr>
    <w:r>
      <w:fldChar w:fldCharType="begin"/>
    </w:r>
    <w:r>
      <w:rPr>
        <w:rStyle w:val="61"/>
      </w:rPr>
      <w:instrText xml:space="preserve">PAGE  </w:instrText>
    </w:r>
    <w:r>
      <w:fldChar w:fldCharType="separate"/>
    </w:r>
    <w:r>
      <w:fldChar w:fldCharType="end"/>
    </w:r>
  </w:p>
  <w:p>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1"/>
      </w:rPr>
    </w:pPr>
  </w:p>
  <w:p>
    <w:pPr>
      <w:pStyle w:val="35"/>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right="360"/>
      <w:jc w:val="center"/>
    </w:pPr>
    <w:r>
      <w:fldChar w:fldCharType="begin"/>
    </w:r>
    <w:r>
      <w:rPr>
        <w:rStyle w:val="61"/>
      </w:rPr>
      <w:instrText xml:space="preserve"> PAGE </w:instrText>
    </w:r>
    <w:r>
      <w:fldChar w:fldCharType="separate"/>
    </w:r>
    <w:r>
      <w:rPr>
        <w:rStyle w:val="61"/>
      </w:rPr>
      <w:t>- 23 -</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right" w:y="1"/>
      <w:rPr>
        <w:rStyle w:val="61"/>
      </w:rPr>
    </w:pPr>
    <w:r>
      <w:fldChar w:fldCharType="begin"/>
    </w:r>
    <w:r>
      <w:rPr>
        <w:rStyle w:val="61"/>
      </w:rPr>
      <w:instrText xml:space="preserve">PAGE  </w:instrText>
    </w:r>
    <w:r>
      <w:fldChar w:fldCharType="separate"/>
    </w:r>
    <w:r>
      <w:fldChar w:fldCharType="end"/>
    </w:r>
  </w:p>
  <w:p>
    <w:pPr>
      <w:pStyle w:val="3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rFonts w:hint="eastAsia"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- 11 -</w:t>
    </w:r>
    <w:r>
      <w:rPr>
        <w:rFonts w:ascii="宋体" w:hAnsi="宋体"/>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rFonts w:hint="eastAsia"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- 30 -</w:t>
    </w:r>
    <w:r>
      <w:rPr>
        <w:rFonts w:ascii="宋体" w:hAnsi="宋体"/>
        <w:sz w:val="21"/>
        <w:szCs w:val="21"/>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1"/>
      </w:rPr>
    </w:pPr>
    <w:r>
      <w:fldChar w:fldCharType="begin"/>
    </w:r>
    <w:r>
      <w:rPr>
        <w:rStyle w:val="61"/>
      </w:rPr>
      <w:instrText xml:space="preserve">PAGE  </w:instrText>
    </w:r>
    <w:r>
      <w:fldChar w:fldCharType="separate"/>
    </w:r>
    <w:r>
      <w:rPr>
        <w:rStyle w:val="61"/>
      </w:rPr>
      <w:t>- 14 -</w:t>
    </w:r>
    <w:r>
      <w:fldChar w:fldCharType="end"/>
    </w:r>
  </w:p>
  <w:p>
    <w:pPr>
      <w:pStyle w:val="35"/>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3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both"/>
      <w:rPr>
        <w:rFonts w:hint="eastAsia" w:ascii="方正仿宋_GBK" w:eastAsia="方正仿宋_GBK"/>
        <w:sz w:val="21"/>
        <w:szCs w:val="21"/>
      </w:rPr>
    </w:pPr>
    <w:r>
      <w:rPr>
        <w:rFonts w:hint="eastAsia" w:ascii="方正仿宋_GBK" w:eastAsia="方正仿宋_GBK"/>
        <w:sz w:val="21"/>
        <w:szCs w:val="21"/>
      </w:rPr>
      <w:t xml:space="preserve">                                                                  </w:t>
    </w:r>
    <w:r>
      <w:rPr>
        <w:rFonts w:hint="eastAsia" w:ascii="方正仿宋_GBK" w:eastAsia="方正仿宋_GBK"/>
        <w:sz w:val="21"/>
        <w:szCs w:val="21"/>
        <w:lang w:val="en-US" w:eastAsia="zh-CN"/>
      </w:rPr>
      <w:t xml:space="preserve">         </w:t>
    </w:r>
    <w:r>
      <w:rPr>
        <w:rFonts w:hint="eastAsia" w:ascii="方正仿宋_GBK" w:eastAsia="方正仿宋_GBK"/>
        <w:sz w:val="21"/>
        <w:szCs w:val="21"/>
      </w:rPr>
      <w:t xml:space="preserve">    </w:t>
    </w:r>
    <w:r>
      <w:rPr>
        <w:rFonts w:hint="eastAsia" w:ascii="方正仿宋_GBK" w:eastAsia="方正仿宋_GBK"/>
        <w:sz w:val="21"/>
        <w:szCs w:val="21"/>
        <w:lang w:val="en-US" w:eastAsia="zh-CN"/>
      </w:rPr>
      <w:t>遴选</w:t>
    </w:r>
    <w:r>
      <w:rPr>
        <w:rFonts w:hint="eastAsia" w:ascii="方正仿宋_GBK" w:eastAsia="方正仿宋_GBK"/>
        <w:sz w:val="21"/>
        <w:szCs w:val="21"/>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single" w:color="auto" w:sz="4" w:space="0"/>
      </w:pBdr>
      <w:rPr>
        <w:rFonts w:hint="default" w:eastAsia="宋体"/>
        <w:lang w:val="en-US" w:eastAsia="zh-CN"/>
      </w:rPr>
    </w:pPr>
    <w:r>
      <w:rPr>
        <w:rFonts w:hint="eastAsia"/>
        <w:lang w:val="en-US" w:eastAsia="zh-CN"/>
      </w:rPr>
      <w:t>重庆市黔江中心医院                                                                         遴选文件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both"/>
      <w:rPr>
        <w:rFonts w:hint="eastAsia" w:ascii="方正仿宋_GBK" w:eastAsia="方正仿宋_GBK"/>
        <w:sz w:val="21"/>
      </w:rPr>
    </w:pPr>
    <w:r>
      <w:rPr>
        <w:rFonts w:hint="eastAsia" w:ascii="方正仿宋_GBK" w:eastAsia="方正仿宋_GBK"/>
        <w:sz w:val="21"/>
      </w:rPr>
      <w:t xml:space="preserve">                                                                      </w:t>
    </w:r>
    <w:r>
      <w:rPr>
        <w:rFonts w:hint="eastAsia" w:ascii="方正仿宋_GBK" w:eastAsia="方正仿宋_GBK"/>
        <w:sz w:val="21"/>
        <w:lang w:val="en-US" w:eastAsia="zh-CN"/>
      </w:rPr>
      <w:t>竞争性谈判</w:t>
    </w:r>
    <w:r>
      <w:rPr>
        <w:rFonts w:hint="eastAsia" w:ascii="方正仿宋_GBK" w:eastAsia="方正仿宋_GBK"/>
        <w:sz w:val="21"/>
      </w:rPr>
      <w:t>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both"/>
      <w:rPr>
        <w:rFonts w:hint="eastAsia" w:ascii="方正仿宋_GBK" w:eastAsia="方正仿宋_GBK"/>
        <w:sz w:val="21"/>
        <w:szCs w:val="21"/>
      </w:rPr>
    </w:pPr>
    <w:r>
      <w:rPr>
        <w:rFonts w:hint="eastAsia" w:ascii="方正仿宋_GBK" w:eastAsia="方正仿宋_GBK"/>
        <w:sz w:val="21"/>
        <w:szCs w:val="21"/>
      </w:rPr>
      <w:t xml:space="preserve">                                                                          </w:t>
    </w:r>
    <w:r>
      <w:rPr>
        <w:rFonts w:hint="eastAsia" w:ascii="方正仿宋_GBK" w:eastAsia="方正仿宋_GBK"/>
        <w:sz w:val="21"/>
        <w:szCs w:val="21"/>
        <w:lang w:val="en-US" w:eastAsia="zh-CN"/>
      </w:rPr>
      <w:t>遴选</w:t>
    </w:r>
    <w:r>
      <w:rPr>
        <w:rFonts w:hint="eastAsia" w:ascii="方正仿宋_GBK" w:eastAsia="方正仿宋_GBK"/>
        <w:sz w:val="21"/>
        <w:szCs w:val="21"/>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453AEA"/>
    <w:multiLevelType w:val="singleLevel"/>
    <w:tmpl w:val="C4453AEA"/>
    <w:lvl w:ilvl="0" w:tentative="0">
      <w:start w:val="1"/>
      <w:numFmt w:val="chineseCounting"/>
      <w:suff w:val="nothing"/>
      <w:lvlText w:val="%1、"/>
      <w:lvlJc w:val="left"/>
      <w:rPr>
        <w:rFonts w:hint="eastAsia"/>
      </w:rPr>
    </w:lvl>
  </w:abstractNum>
  <w:abstractNum w:abstractNumId="1">
    <w:nsid w:val="E03F5ED8"/>
    <w:multiLevelType w:val="singleLevel"/>
    <w:tmpl w:val="E03F5ED8"/>
    <w:lvl w:ilvl="0" w:tentative="0">
      <w:start w:val="1"/>
      <w:numFmt w:val="decimal"/>
      <w:suff w:val="space"/>
      <w:lvlText w:val="%1."/>
      <w:lvlJc w:val="left"/>
      <w:pPr>
        <w:ind w:left="480" w:firstLine="0"/>
      </w:pPr>
    </w:lvl>
  </w:abstractNum>
  <w:abstractNum w:abstractNumId="2">
    <w:nsid w:val="ECD804B5"/>
    <w:multiLevelType w:val="singleLevel"/>
    <w:tmpl w:val="ECD804B5"/>
    <w:lvl w:ilvl="0" w:tentative="0">
      <w:start w:val="2"/>
      <w:numFmt w:val="decimal"/>
      <w:lvlText w:val="%1."/>
      <w:lvlJc w:val="left"/>
      <w:pPr>
        <w:tabs>
          <w:tab w:val="left" w:pos="312"/>
        </w:tabs>
      </w:pPr>
    </w:lvl>
  </w:abstractNum>
  <w:abstractNum w:abstractNumId="3">
    <w:nsid w:val="EDDFEA1B"/>
    <w:multiLevelType w:val="singleLevel"/>
    <w:tmpl w:val="EDDFEA1B"/>
    <w:lvl w:ilvl="0" w:tentative="0">
      <w:start w:val="1"/>
      <w:numFmt w:val="decimal"/>
      <w:suff w:val="space"/>
      <w:lvlText w:val="%1."/>
      <w:lvlJc w:val="left"/>
      <w:pPr>
        <w:ind w:left="480" w:firstLine="0"/>
      </w:pPr>
    </w:lvl>
  </w:abstractNum>
  <w:abstractNum w:abstractNumId="4">
    <w:nsid w:val="00000009"/>
    <w:multiLevelType w:val="multilevel"/>
    <w:tmpl w:val="00000009"/>
    <w:lvl w:ilvl="0" w:tentative="0">
      <w:start w:val="1"/>
      <w:numFmt w:val="upperLetter"/>
      <w:pStyle w:val="87"/>
      <w:suff w:val="nothing"/>
      <w:lvlText w:val="附　录　%1"/>
      <w:lvlJc w:val="left"/>
      <w:pPr>
        <w:ind w:left="0" w:firstLine="0"/>
      </w:pPr>
      <w:rPr>
        <w:rFonts w:hint="eastAsia" w:ascii="黑体" w:hAnsi="Times New Roman" w:eastAsia="黑体"/>
        <w:b w:val="0"/>
        <w:i w:val="0"/>
        <w:sz w:val="21"/>
      </w:rPr>
    </w:lvl>
    <w:lvl w:ilvl="1" w:tentative="0">
      <w:start w:val="1"/>
      <w:numFmt w:val="decimal"/>
      <w:pStyle w:val="118"/>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0000000A"/>
    <w:multiLevelType w:val="multilevel"/>
    <w:tmpl w:val="0000000A"/>
    <w:lvl w:ilvl="0" w:tentative="0">
      <w:start w:val="1"/>
      <w:numFmt w:val="bullet"/>
      <w:pStyle w:val="150"/>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B"/>
    <w:multiLevelType w:val="singleLevel"/>
    <w:tmpl w:val="0000000B"/>
    <w:lvl w:ilvl="0" w:tentative="0">
      <w:start w:val="1"/>
      <w:numFmt w:val="bullet"/>
      <w:pStyle w:val="147"/>
      <w:lvlText w:val=""/>
      <w:lvlJc w:val="left"/>
      <w:pPr>
        <w:tabs>
          <w:tab w:val="left" w:pos="360"/>
        </w:tabs>
        <w:ind w:left="360" w:hanging="360"/>
      </w:pPr>
      <w:rPr>
        <w:rFonts w:hint="default" w:ascii="Wingdings" w:hAnsi="Wingdings"/>
      </w:rPr>
    </w:lvl>
  </w:abstractNum>
  <w:abstractNum w:abstractNumId="7">
    <w:nsid w:val="0000000D"/>
    <w:multiLevelType w:val="singleLevel"/>
    <w:tmpl w:val="0000000D"/>
    <w:lvl w:ilvl="0" w:tentative="0">
      <w:start w:val="1"/>
      <w:numFmt w:val="bullet"/>
      <w:pStyle w:val="70"/>
      <w:lvlText w:val=""/>
      <w:lvlJc w:val="left"/>
      <w:pPr>
        <w:tabs>
          <w:tab w:val="left" w:pos="1200"/>
        </w:tabs>
        <w:ind w:left="1200" w:hanging="360"/>
      </w:pPr>
      <w:rPr>
        <w:rFonts w:hint="default" w:ascii="Wingdings" w:hAnsi="Wingdings"/>
      </w:rPr>
    </w:lvl>
  </w:abstractNum>
  <w:abstractNum w:abstractNumId="8">
    <w:nsid w:val="0000000E"/>
    <w:multiLevelType w:val="multilevel"/>
    <w:tmpl w:val="0000000E"/>
    <w:lvl w:ilvl="0" w:tentative="0">
      <w:start w:val="1"/>
      <w:numFmt w:val="bullet"/>
      <w:pStyle w:val="193"/>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9">
    <w:nsid w:val="00000010"/>
    <w:multiLevelType w:val="singleLevel"/>
    <w:tmpl w:val="00000010"/>
    <w:lvl w:ilvl="0" w:tentative="0">
      <w:start w:val="1"/>
      <w:numFmt w:val="bullet"/>
      <w:pStyle w:val="170"/>
      <w:lvlText w:val=""/>
      <w:lvlJc w:val="left"/>
      <w:pPr>
        <w:tabs>
          <w:tab w:val="left" w:pos="1620"/>
        </w:tabs>
        <w:ind w:left="1620" w:hanging="360"/>
      </w:pPr>
      <w:rPr>
        <w:rFonts w:hint="default" w:ascii="Wingdings" w:hAnsi="Wingdings"/>
      </w:rPr>
    </w:lvl>
  </w:abstractNum>
  <w:abstractNum w:abstractNumId="10">
    <w:nsid w:val="00000011"/>
    <w:multiLevelType w:val="multilevel"/>
    <w:tmpl w:val="00000011"/>
    <w:lvl w:ilvl="0" w:tentative="0">
      <w:start w:val="1"/>
      <w:numFmt w:val="decimal"/>
      <w:pStyle w:val="168"/>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2"/>
    <w:multiLevelType w:val="multilevel"/>
    <w:tmpl w:val="00000012"/>
    <w:lvl w:ilvl="0" w:tentative="0">
      <w:start w:val="1"/>
      <w:numFmt w:val="bullet"/>
      <w:pStyle w:val="74"/>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3">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4">
    <w:nsid w:val="00000016"/>
    <w:multiLevelType w:val="singleLevel"/>
    <w:tmpl w:val="00000016"/>
    <w:lvl w:ilvl="0" w:tentative="0">
      <w:start w:val="1"/>
      <w:numFmt w:val="decimal"/>
      <w:pStyle w:val="203"/>
      <w:lvlText w:val="%1)"/>
      <w:lvlJc w:val="left"/>
      <w:pPr>
        <w:tabs>
          <w:tab w:val="left" w:pos="425"/>
        </w:tabs>
        <w:ind w:left="425" w:hanging="425"/>
      </w:pPr>
      <w:rPr>
        <w:rFonts w:hint="eastAsia"/>
      </w:rPr>
    </w:lvl>
  </w:abstractNum>
  <w:abstractNum w:abstractNumId="15">
    <w:nsid w:val="00000017"/>
    <w:multiLevelType w:val="multilevel"/>
    <w:tmpl w:val="00000017"/>
    <w:lvl w:ilvl="0" w:tentative="0">
      <w:start w:val="1"/>
      <w:numFmt w:val="chineseCountingThousand"/>
      <w:pStyle w:val="99"/>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97F298E"/>
    <w:multiLevelType w:val="singleLevel"/>
    <w:tmpl w:val="097F298E"/>
    <w:lvl w:ilvl="0" w:tentative="0">
      <w:start w:val="1"/>
      <w:numFmt w:val="decimal"/>
      <w:suff w:val="space"/>
      <w:lvlText w:val="%1."/>
      <w:lvlJc w:val="left"/>
    </w:lvl>
  </w:abstractNum>
  <w:abstractNum w:abstractNumId="17">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05"/>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8">
    <w:nsid w:val="5FE7514A"/>
    <w:multiLevelType w:val="singleLevel"/>
    <w:tmpl w:val="5FE7514A"/>
    <w:lvl w:ilvl="0" w:tentative="0">
      <w:start w:val="2"/>
      <w:numFmt w:val="decimal"/>
      <w:lvlText w:val="%1."/>
      <w:lvlJc w:val="left"/>
      <w:pPr>
        <w:tabs>
          <w:tab w:val="left" w:pos="312"/>
        </w:tabs>
        <w:ind w:left="960" w:firstLine="0"/>
      </w:pPr>
    </w:lvl>
  </w:abstractNum>
  <w:abstractNum w:abstractNumId="19">
    <w:nsid w:val="7C975AE7"/>
    <w:multiLevelType w:val="singleLevel"/>
    <w:tmpl w:val="7C975AE7"/>
    <w:lvl w:ilvl="0" w:tentative="0">
      <w:start w:val="1"/>
      <w:numFmt w:val="decimal"/>
      <w:suff w:val="space"/>
      <w:lvlText w:val="%1."/>
      <w:lvlJc w:val="left"/>
    </w:lvl>
  </w:abstractNum>
  <w:num w:numId="1">
    <w:abstractNumId w:val="12"/>
  </w:num>
  <w:num w:numId="2">
    <w:abstractNumId w:val="9"/>
  </w:num>
  <w:num w:numId="3">
    <w:abstractNumId w:val="7"/>
  </w:num>
  <w:num w:numId="4">
    <w:abstractNumId w:val="13"/>
  </w:num>
  <w:num w:numId="5">
    <w:abstractNumId w:val="11"/>
  </w:num>
  <w:num w:numId="6">
    <w:abstractNumId w:val="4"/>
  </w:num>
  <w:num w:numId="7">
    <w:abstractNumId w:val="15"/>
  </w:num>
  <w:num w:numId="8">
    <w:abstractNumId w:val="17"/>
  </w:num>
  <w:num w:numId="9">
    <w:abstractNumId w:val="6"/>
  </w:num>
  <w:num w:numId="10">
    <w:abstractNumId w:val="5"/>
  </w:num>
  <w:num w:numId="11">
    <w:abstractNumId w:val="10"/>
  </w:num>
  <w:num w:numId="12">
    <w:abstractNumId w:val="8"/>
  </w:num>
  <w:num w:numId="13">
    <w:abstractNumId w:val="14"/>
  </w:num>
  <w:num w:numId="14">
    <w:abstractNumId w:val="2"/>
  </w:num>
  <w:num w:numId="15">
    <w:abstractNumId w:val="0"/>
  </w:num>
  <w:num w:numId="16">
    <w:abstractNumId w:val="3"/>
  </w:num>
  <w:num w:numId="17">
    <w:abstractNumId w:val="1"/>
  </w:num>
  <w:num w:numId="18">
    <w:abstractNumId w:val="19"/>
  </w:num>
  <w:num w:numId="19">
    <w:abstractNumId w:val="1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3NjI5NDQ0MDI5OTg0MTZjYTM5NDc1ZDQ2MzA3ZDEifQ=="/>
  </w:docVars>
  <w:rsids>
    <w:rsidRoot w:val="00172A27"/>
    <w:rsid w:val="000014C5"/>
    <w:rsid w:val="00002AE4"/>
    <w:rsid w:val="00003626"/>
    <w:rsid w:val="000040DE"/>
    <w:rsid w:val="000070F0"/>
    <w:rsid w:val="000075E8"/>
    <w:rsid w:val="00011B4B"/>
    <w:rsid w:val="00016B79"/>
    <w:rsid w:val="00017816"/>
    <w:rsid w:val="00032ACA"/>
    <w:rsid w:val="0003632F"/>
    <w:rsid w:val="00043835"/>
    <w:rsid w:val="0004739C"/>
    <w:rsid w:val="00051E02"/>
    <w:rsid w:val="000523C9"/>
    <w:rsid w:val="0005298B"/>
    <w:rsid w:val="0005417C"/>
    <w:rsid w:val="000576E1"/>
    <w:rsid w:val="00061A7C"/>
    <w:rsid w:val="00063981"/>
    <w:rsid w:val="00074C38"/>
    <w:rsid w:val="000816AD"/>
    <w:rsid w:val="00082CC1"/>
    <w:rsid w:val="00090C5A"/>
    <w:rsid w:val="00091B1C"/>
    <w:rsid w:val="00091D22"/>
    <w:rsid w:val="000A164E"/>
    <w:rsid w:val="000A3057"/>
    <w:rsid w:val="000B1068"/>
    <w:rsid w:val="000B3002"/>
    <w:rsid w:val="000B42F4"/>
    <w:rsid w:val="000B7377"/>
    <w:rsid w:val="000B7F54"/>
    <w:rsid w:val="000C08C1"/>
    <w:rsid w:val="000C1E0E"/>
    <w:rsid w:val="000C20E6"/>
    <w:rsid w:val="000C2C03"/>
    <w:rsid w:val="000C6D89"/>
    <w:rsid w:val="000D776F"/>
    <w:rsid w:val="000E01C9"/>
    <w:rsid w:val="000E0DD7"/>
    <w:rsid w:val="000E3259"/>
    <w:rsid w:val="000E4835"/>
    <w:rsid w:val="000E5AB0"/>
    <w:rsid w:val="000F302A"/>
    <w:rsid w:val="000F3D5B"/>
    <w:rsid w:val="000F64D7"/>
    <w:rsid w:val="000F7DBF"/>
    <w:rsid w:val="0010014A"/>
    <w:rsid w:val="00100639"/>
    <w:rsid w:val="0010088E"/>
    <w:rsid w:val="001028FD"/>
    <w:rsid w:val="00105638"/>
    <w:rsid w:val="0010716D"/>
    <w:rsid w:val="001140DC"/>
    <w:rsid w:val="00114CFE"/>
    <w:rsid w:val="00115337"/>
    <w:rsid w:val="001166B8"/>
    <w:rsid w:val="0011683E"/>
    <w:rsid w:val="00116856"/>
    <w:rsid w:val="00116C42"/>
    <w:rsid w:val="0011780F"/>
    <w:rsid w:val="00117B26"/>
    <w:rsid w:val="00120259"/>
    <w:rsid w:val="00122F9D"/>
    <w:rsid w:val="001264A8"/>
    <w:rsid w:val="001266BF"/>
    <w:rsid w:val="00133D16"/>
    <w:rsid w:val="00134037"/>
    <w:rsid w:val="001342AC"/>
    <w:rsid w:val="00135BAE"/>
    <w:rsid w:val="00145224"/>
    <w:rsid w:val="00146EC3"/>
    <w:rsid w:val="00147FB4"/>
    <w:rsid w:val="0015011C"/>
    <w:rsid w:val="00150204"/>
    <w:rsid w:val="0015033B"/>
    <w:rsid w:val="00150429"/>
    <w:rsid w:val="001523C5"/>
    <w:rsid w:val="00152B00"/>
    <w:rsid w:val="00152CAD"/>
    <w:rsid w:val="00153556"/>
    <w:rsid w:val="0016265A"/>
    <w:rsid w:val="00171E05"/>
    <w:rsid w:val="00180ACB"/>
    <w:rsid w:val="00181A6C"/>
    <w:rsid w:val="00183B60"/>
    <w:rsid w:val="00186623"/>
    <w:rsid w:val="001879FD"/>
    <w:rsid w:val="0019571D"/>
    <w:rsid w:val="001963A2"/>
    <w:rsid w:val="00196465"/>
    <w:rsid w:val="001A1B93"/>
    <w:rsid w:val="001A64A1"/>
    <w:rsid w:val="001A6DCC"/>
    <w:rsid w:val="001A773E"/>
    <w:rsid w:val="001B0396"/>
    <w:rsid w:val="001B1400"/>
    <w:rsid w:val="001B3DBD"/>
    <w:rsid w:val="001B4377"/>
    <w:rsid w:val="001D0DF7"/>
    <w:rsid w:val="001D1038"/>
    <w:rsid w:val="001D2321"/>
    <w:rsid w:val="001D2DCD"/>
    <w:rsid w:val="001D5055"/>
    <w:rsid w:val="001D630C"/>
    <w:rsid w:val="001E1467"/>
    <w:rsid w:val="001E1A2F"/>
    <w:rsid w:val="001E201B"/>
    <w:rsid w:val="001E5CAC"/>
    <w:rsid w:val="001E64A9"/>
    <w:rsid w:val="001E6841"/>
    <w:rsid w:val="001E725F"/>
    <w:rsid w:val="001F1AF5"/>
    <w:rsid w:val="001F1AF7"/>
    <w:rsid w:val="001F4964"/>
    <w:rsid w:val="001F4A96"/>
    <w:rsid w:val="001F7063"/>
    <w:rsid w:val="00202B04"/>
    <w:rsid w:val="00203052"/>
    <w:rsid w:val="00204936"/>
    <w:rsid w:val="002049D5"/>
    <w:rsid w:val="00206AE4"/>
    <w:rsid w:val="002100EE"/>
    <w:rsid w:val="00210168"/>
    <w:rsid w:val="00210ED7"/>
    <w:rsid w:val="00212A06"/>
    <w:rsid w:val="00214E7A"/>
    <w:rsid w:val="00215DEE"/>
    <w:rsid w:val="0021618E"/>
    <w:rsid w:val="0021704D"/>
    <w:rsid w:val="002216C7"/>
    <w:rsid w:val="00222097"/>
    <w:rsid w:val="002227DB"/>
    <w:rsid w:val="00227202"/>
    <w:rsid w:val="00227377"/>
    <w:rsid w:val="00227851"/>
    <w:rsid w:val="002339D3"/>
    <w:rsid w:val="00234257"/>
    <w:rsid w:val="002348E0"/>
    <w:rsid w:val="00254E1A"/>
    <w:rsid w:val="00262555"/>
    <w:rsid w:val="002643C1"/>
    <w:rsid w:val="00265203"/>
    <w:rsid w:val="00270223"/>
    <w:rsid w:val="0027199E"/>
    <w:rsid w:val="00271D47"/>
    <w:rsid w:val="002721EA"/>
    <w:rsid w:val="002752BA"/>
    <w:rsid w:val="00280E8A"/>
    <w:rsid w:val="00285164"/>
    <w:rsid w:val="002855B0"/>
    <w:rsid w:val="00286959"/>
    <w:rsid w:val="00295FA5"/>
    <w:rsid w:val="00297A6F"/>
    <w:rsid w:val="002A4956"/>
    <w:rsid w:val="002A6710"/>
    <w:rsid w:val="002A7778"/>
    <w:rsid w:val="002B1FDA"/>
    <w:rsid w:val="002B2ACF"/>
    <w:rsid w:val="002B578B"/>
    <w:rsid w:val="002B5ECC"/>
    <w:rsid w:val="002B7904"/>
    <w:rsid w:val="002C2507"/>
    <w:rsid w:val="002C2E6E"/>
    <w:rsid w:val="002C3A3D"/>
    <w:rsid w:val="002C7927"/>
    <w:rsid w:val="002D41FF"/>
    <w:rsid w:val="002D608F"/>
    <w:rsid w:val="002D7053"/>
    <w:rsid w:val="002D7208"/>
    <w:rsid w:val="002D7725"/>
    <w:rsid w:val="002E0CC2"/>
    <w:rsid w:val="002E3527"/>
    <w:rsid w:val="002E3824"/>
    <w:rsid w:val="002E78F7"/>
    <w:rsid w:val="002F031F"/>
    <w:rsid w:val="002F0ED3"/>
    <w:rsid w:val="002F3278"/>
    <w:rsid w:val="002F3DE3"/>
    <w:rsid w:val="002F632E"/>
    <w:rsid w:val="003021BC"/>
    <w:rsid w:val="0030440F"/>
    <w:rsid w:val="00310AF9"/>
    <w:rsid w:val="00310DAA"/>
    <w:rsid w:val="0031465E"/>
    <w:rsid w:val="00315742"/>
    <w:rsid w:val="003163B3"/>
    <w:rsid w:val="003200C6"/>
    <w:rsid w:val="00322A7A"/>
    <w:rsid w:val="00326C5B"/>
    <w:rsid w:val="003336F0"/>
    <w:rsid w:val="0033663D"/>
    <w:rsid w:val="003366D9"/>
    <w:rsid w:val="00340777"/>
    <w:rsid w:val="00341D8A"/>
    <w:rsid w:val="00341DEB"/>
    <w:rsid w:val="00346A3D"/>
    <w:rsid w:val="00350510"/>
    <w:rsid w:val="00350C20"/>
    <w:rsid w:val="003548FA"/>
    <w:rsid w:val="00355643"/>
    <w:rsid w:val="00355A74"/>
    <w:rsid w:val="0035764D"/>
    <w:rsid w:val="00361427"/>
    <w:rsid w:val="00363702"/>
    <w:rsid w:val="0036458B"/>
    <w:rsid w:val="003703E8"/>
    <w:rsid w:val="00371D2F"/>
    <w:rsid w:val="00373122"/>
    <w:rsid w:val="0037612E"/>
    <w:rsid w:val="0038033A"/>
    <w:rsid w:val="003816ED"/>
    <w:rsid w:val="003840E9"/>
    <w:rsid w:val="00384161"/>
    <w:rsid w:val="00387610"/>
    <w:rsid w:val="0039432A"/>
    <w:rsid w:val="003953EA"/>
    <w:rsid w:val="00395C2F"/>
    <w:rsid w:val="003973D3"/>
    <w:rsid w:val="00397F89"/>
    <w:rsid w:val="003A0495"/>
    <w:rsid w:val="003A0892"/>
    <w:rsid w:val="003A3162"/>
    <w:rsid w:val="003A422B"/>
    <w:rsid w:val="003A449E"/>
    <w:rsid w:val="003A71F3"/>
    <w:rsid w:val="003B19F5"/>
    <w:rsid w:val="003D0E0A"/>
    <w:rsid w:val="003D3B22"/>
    <w:rsid w:val="003D7B3D"/>
    <w:rsid w:val="003E0348"/>
    <w:rsid w:val="003F3DB1"/>
    <w:rsid w:val="003F451E"/>
    <w:rsid w:val="003F4939"/>
    <w:rsid w:val="003F626F"/>
    <w:rsid w:val="003F6794"/>
    <w:rsid w:val="00402B32"/>
    <w:rsid w:val="0040519F"/>
    <w:rsid w:val="0040781E"/>
    <w:rsid w:val="00410C93"/>
    <w:rsid w:val="004115FB"/>
    <w:rsid w:val="00411B4A"/>
    <w:rsid w:val="004134DD"/>
    <w:rsid w:val="00417E99"/>
    <w:rsid w:val="00421507"/>
    <w:rsid w:val="00424D02"/>
    <w:rsid w:val="0042525A"/>
    <w:rsid w:val="0042733C"/>
    <w:rsid w:val="0044185A"/>
    <w:rsid w:val="0044193A"/>
    <w:rsid w:val="00453B8F"/>
    <w:rsid w:val="004556B7"/>
    <w:rsid w:val="00460489"/>
    <w:rsid w:val="004608C7"/>
    <w:rsid w:val="00462878"/>
    <w:rsid w:val="00465B7A"/>
    <w:rsid w:val="00471121"/>
    <w:rsid w:val="00472AA2"/>
    <w:rsid w:val="00473B39"/>
    <w:rsid w:val="00474175"/>
    <w:rsid w:val="00481309"/>
    <w:rsid w:val="004928A2"/>
    <w:rsid w:val="00494610"/>
    <w:rsid w:val="004953EC"/>
    <w:rsid w:val="00497ADD"/>
    <w:rsid w:val="004A0D29"/>
    <w:rsid w:val="004A0DE1"/>
    <w:rsid w:val="004A2410"/>
    <w:rsid w:val="004A27AC"/>
    <w:rsid w:val="004A3995"/>
    <w:rsid w:val="004B3AB3"/>
    <w:rsid w:val="004C1DD0"/>
    <w:rsid w:val="004C2685"/>
    <w:rsid w:val="004C64E4"/>
    <w:rsid w:val="004C6673"/>
    <w:rsid w:val="004D2334"/>
    <w:rsid w:val="004D433D"/>
    <w:rsid w:val="004D4410"/>
    <w:rsid w:val="004E156F"/>
    <w:rsid w:val="004E2F88"/>
    <w:rsid w:val="004E550E"/>
    <w:rsid w:val="004E55DB"/>
    <w:rsid w:val="004E67C6"/>
    <w:rsid w:val="004F5959"/>
    <w:rsid w:val="004F670C"/>
    <w:rsid w:val="00502B2F"/>
    <w:rsid w:val="00512D00"/>
    <w:rsid w:val="00512D44"/>
    <w:rsid w:val="00514179"/>
    <w:rsid w:val="00516243"/>
    <w:rsid w:val="005164D4"/>
    <w:rsid w:val="0053518A"/>
    <w:rsid w:val="005406A0"/>
    <w:rsid w:val="00540E03"/>
    <w:rsid w:val="00541D5F"/>
    <w:rsid w:val="00544BEA"/>
    <w:rsid w:val="005460D5"/>
    <w:rsid w:val="00553CF0"/>
    <w:rsid w:val="00557C75"/>
    <w:rsid w:val="00566A85"/>
    <w:rsid w:val="005709DA"/>
    <w:rsid w:val="00570C78"/>
    <w:rsid w:val="00573AE3"/>
    <w:rsid w:val="00581EF9"/>
    <w:rsid w:val="00583690"/>
    <w:rsid w:val="005902D9"/>
    <w:rsid w:val="0059075F"/>
    <w:rsid w:val="00596AB7"/>
    <w:rsid w:val="005A1B5C"/>
    <w:rsid w:val="005A1EA7"/>
    <w:rsid w:val="005A6A12"/>
    <w:rsid w:val="005B0724"/>
    <w:rsid w:val="005B1E46"/>
    <w:rsid w:val="005B5AA4"/>
    <w:rsid w:val="005C3DB5"/>
    <w:rsid w:val="005C3F4B"/>
    <w:rsid w:val="005C42AC"/>
    <w:rsid w:val="005C4F84"/>
    <w:rsid w:val="005D2EC6"/>
    <w:rsid w:val="005D37D0"/>
    <w:rsid w:val="005D41E8"/>
    <w:rsid w:val="005D703E"/>
    <w:rsid w:val="005E35E9"/>
    <w:rsid w:val="005E5525"/>
    <w:rsid w:val="005F38BB"/>
    <w:rsid w:val="005F7895"/>
    <w:rsid w:val="0060003E"/>
    <w:rsid w:val="00602BBE"/>
    <w:rsid w:val="0060315D"/>
    <w:rsid w:val="00613410"/>
    <w:rsid w:val="00617986"/>
    <w:rsid w:val="006256CA"/>
    <w:rsid w:val="00627729"/>
    <w:rsid w:val="00627F21"/>
    <w:rsid w:val="0063025A"/>
    <w:rsid w:val="0064583B"/>
    <w:rsid w:val="006468B8"/>
    <w:rsid w:val="00651127"/>
    <w:rsid w:val="0065190C"/>
    <w:rsid w:val="006542F1"/>
    <w:rsid w:val="00654A48"/>
    <w:rsid w:val="0065651B"/>
    <w:rsid w:val="00664607"/>
    <w:rsid w:val="00665941"/>
    <w:rsid w:val="0066755F"/>
    <w:rsid w:val="00670089"/>
    <w:rsid w:val="00670C89"/>
    <w:rsid w:val="00671233"/>
    <w:rsid w:val="006763DC"/>
    <w:rsid w:val="00680AE4"/>
    <w:rsid w:val="00682205"/>
    <w:rsid w:val="006822B0"/>
    <w:rsid w:val="00684E51"/>
    <w:rsid w:val="0068793C"/>
    <w:rsid w:val="00694288"/>
    <w:rsid w:val="00694F91"/>
    <w:rsid w:val="006A100B"/>
    <w:rsid w:val="006A143A"/>
    <w:rsid w:val="006A3285"/>
    <w:rsid w:val="006A4C56"/>
    <w:rsid w:val="006B0567"/>
    <w:rsid w:val="006B4535"/>
    <w:rsid w:val="006B72DE"/>
    <w:rsid w:val="006B75CB"/>
    <w:rsid w:val="006C5FC1"/>
    <w:rsid w:val="006D44E1"/>
    <w:rsid w:val="006D6350"/>
    <w:rsid w:val="006D6662"/>
    <w:rsid w:val="006E21FA"/>
    <w:rsid w:val="006E477D"/>
    <w:rsid w:val="006E6D5F"/>
    <w:rsid w:val="006F0FB7"/>
    <w:rsid w:val="006F5925"/>
    <w:rsid w:val="006F5E40"/>
    <w:rsid w:val="006F6E4A"/>
    <w:rsid w:val="00704E5D"/>
    <w:rsid w:val="00705739"/>
    <w:rsid w:val="007073D6"/>
    <w:rsid w:val="00710AE5"/>
    <w:rsid w:val="00712E83"/>
    <w:rsid w:val="00712FF5"/>
    <w:rsid w:val="0071464D"/>
    <w:rsid w:val="00714BF1"/>
    <w:rsid w:val="00715FB5"/>
    <w:rsid w:val="00716C50"/>
    <w:rsid w:val="007171A6"/>
    <w:rsid w:val="0071799D"/>
    <w:rsid w:val="00726088"/>
    <w:rsid w:val="00730B6A"/>
    <w:rsid w:val="00731B91"/>
    <w:rsid w:val="00736D88"/>
    <w:rsid w:val="00736DD2"/>
    <w:rsid w:val="00736EE0"/>
    <w:rsid w:val="0074681C"/>
    <w:rsid w:val="00746EC2"/>
    <w:rsid w:val="007504DE"/>
    <w:rsid w:val="00762B70"/>
    <w:rsid w:val="007636FE"/>
    <w:rsid w:val="0077408E"/>
    <w:rsid w:val="00780577"/>
    <w:rsid w:val="00781AD3"/>
    <w:rsid w:val="00781BFB"/>
    <w:rsid w:val="00786FA7"/>
    <w:rsid w:val="0079177C"/>
    <w:rsid w:val="00794382"/>
    <w:rsid w:val="007959AC"/>
    <w:rsid w:val="00796323"/>
    <w:rsid w:val="007A20E0"/>
    <w:rsid w:val="007B2204"/>
    <w:rsid w:val="007B4B60"/>
    <w:rsid w:val="007B7278"/>
    <w:rsid w:val="007C1691"/>
    <w:rsid w:val="007C6B0F"/>
    <w:rsid w:val="007D0625"/>
    <w:rsid w:val="007D7A44"/>
    <w:rsid w:val="007D7E65"/>
    <w:rsid w:val="007E19E0"/>
    <w:rsid w:val="007E517D"/>
    <w:rsid w:val="007F6769"/>
    <w:rsid w:val="008041D4"/>
    <w:rsid w:val="00806938"/>
    <w:rsid w:val="00807818"/>
    <w:rsid w:val="0081156A"/>
    <w:rsid w:val="00827398"/>
    <w:rsid w:val="008275B6"/>
    <w:rsid w:val="0083653E"/>
    <w:rsid w:val="008369DC"/>
    <w:rsid w:val="00842974"/>
    <w:rsid w:val="00842F87"/>
    <w:rsid w:val="00843A88"/>
    <w:rsid w:val="00843D2E"/>
    <w:rsid w:val="0085550A"/>
    <w:rsid w:val="00856181"/>
    <w:rsid w:val="008616EF"/>
    <w:rsid w:val="00863C25"/>
    <w:rsid w:val="008641B7"/>
    <w:rsid w:val="00864D80"/>
    <w:rsid w:val="00864DC1"/>
    <w:rsid w:val="00870530"/>
    <w:rsid w:val="008705BC"/>
    <w:rsid w:val="00871999"/>
    <w:rsid w:val="00872E27"/>
    <w:rsid w:val="00875A42"/>
    <w:rsid w:val="0088192C"/>
    <w:rsid w:val="008904A8"/>
    <w:rsid w:val="00891D94"/>
    <w:rsid w:val="00896589"/>
    <w:rsid w:val="008A0CEE"/>
    <w:rsid w:val="008A19AF"/>
    <w:rsid w:val="008A20FB"/>
    <w:rsid w:val="008A4D88"/>
    <w:rsid w:val="008C1B22"/>
    <w:rsid w:val="008C4C84"/>
    <w:rsid w:val="008C510F"/>
    <w:rsid w:val="008D067F"/>
    <w:rsid w:val="008D3283"/>
    <w:rsid w:val="008E437B"/>
    <w:rsid w:val="008E4D3F"/>
    <w:rsid w:val="008E66B8"/>
    <w:rsid w:val="008F0A2E"/>
    <w:rsid w:val="008F1988"/>
    <w:rsid w:val="008F2B05"/>
    <w:rsid w:val="008F5E76"/>
    <w:rsid w:val="008F6252"/>
    <w:rsid w:val="009023F3"/>
    <w:rsid w:val="0090383C"/>
    <w:rsid w:val="00905D85"/>
    <w:rsid w:val="00912132"/>
    <w:rsid w:val="00913CAA"/>
    <w:rsid w:val="009226D2"/>
    <w:rsid w:val="00922FAD"/>
    <w:rsid w:val="00924F0A"/>
    <w:rsid w:val="00925082"/>
    <w:rsid w:val="00925726"/>
    <w:rsid w:val="00926904"/>
    <w:rsid w:val="0092708B"/>
    <w:rsid w:val="0093049D"/>
    <w:rsid w:val="00936A01"/>
    <w:rsid w:val="00937713"/>
    <w:rsid w:val="009404E7"/>
    <w:rsid w:val="009409CD"/>
    <w:rsid w:val="0094759E"/>
    <w:rsid w:val="00952C13"/>
    <w:rsid w:val="0095455D"/>
    <w:rsid w:val="00962BF1"/>
    <w:rsid w:val="00963237"/>
    <w:rsid w:val="00966820"/>
    <w:rsid w:val="00971E57"/>
    <w:rsid w:val="009723CF"/>
    <w:rsid w:val="00972F46"/>
    <w:rsid w:val="00973D3A"/>
    <w:rsid w:val="009741DC"/>
    <w:rsid w:val="0097652A"/>
    <w:rsid w:val="00980037"/>
    <w:rsid w:val="00983B43"/>
    <w:rsid w:val="00984742"/>
    <w:rsid w:val="0099161D"/>
    <w:rsid w:val="00991B37"/>
    <w:rsid w:val="009B6208"/>
    <w:rsid w:val="009B71FF"/>
    <w:rsid w:val="009C3034"/>
    <w:rsid w:val="009C4BFF"/>
    <w:rsid w:val="009C7522"/>
    <w:rsid w:val="009D0FDD"/>
    <w:rsid w:val="009D3162"/>
    <w:rsid w:val="009D3181"/>
    <w:rsid w:val="009D7B9B"/>
    <w:rsid w:val="009E067B"/>
    <w:rsid w:val="009E717E"/>
    <w:rsid w:val="009E737D"/>
    <w:rsid w:val="009F18FA"/>
    <w:rsid w:val="00A0197B"/>
    <w:rsid w:val="00A02768"/>
    <w:rsid w:val="00A03977"/>
    <w:rsid w:val="00A06013"/>
    <w:rsid w:val="00A104A7"/>
    <w:rsid w:val="00A12904"/>
    <w:rsid w:val="00A15FBF"/>
    <w:rsid w:val="00A1616D"/>
    <w:rsid w:val="00A1783B"/>
    <w:rsid w:val="00A224AC"/>
    <w:rsid w:val="00A26FF7"/>
    <w:rsid w:val="00A27159"/>
    <w:rsid w:val="00A37A20"/>
    <w:rsid w:val="00A445DC"/>
    <w:rsid w:val="00A44BEA"/>
    <w:rsid w:val="00A47C22"/>
    <w:rsid w:val="00A55B14"/>
    <w:rsid w:val="00A5689C"/>
    <w:rsid w:val="00A569E8"/>
    <w:rsid w:val="00A57FAF"/>
    <w:rsid w:val="00A601C4"/>
    <w:rsid w:val="00A61D6E"/>
    <w:rsid w:val="00A70193"/>
    <w:rsid w:val="00A711C6"/>
    <w:rsid w:val="00A730F3"/>
    <w:rsid w:val="00A74B68"/>
    <w:rsid w:val="00A77EE1"/>
    <w:rsid w:val="00A84863"/>
    <w:rsid w:val="00A91750"/>
    <w:rsid w:val="00A95D95"/>
    <w:rsid w:val="00A977EC"/>
    <w:rsid w:val="00AA3FD1"/>
    <w:rsid w:val="00AA52DE"/>
    <w:rsid w:val="00AB11B3"/>
    <w:rsid w:val="00AB1DAF"/>
    <w:rsid w:val="00AB40EF"/>
    <w:rsid w:val="00AB43D9"/>
    <w:rsid w:val="00AB5ED3"/>
    <w:rsid w:val="00AB6B0C"/>
    <w:rsid w:val="00AB70CD"/>
    <w:rsid w:val="00AB7800"/>
    <w:rsid w:val="00AC1860"/>
    <w:rsid w:val="00AC4898"/>
    <w:rsid w:val="00AC48B3"/>
    <w:rsid w:val="00AC7893"/>
    <w:rsid w:val="00AC7AC9"/>
    <w:rsid w:val="00AD1C54"/>
    <w:rsid w:val="00AE1920"/>
    <w:rsid w:val="00AE76F8"/>
    <w:rsid w:val="00AF01B3"/>
    <w:rsid w:val="00AF0F13"/>
    <w:rsid w:val="00AF7992"/>
    <w:rsid w:val="00AF7CDD"/>
    <w:rsid w:val="00B00AB3"/>
    <w:rsid w:val="00B14C52"/>
    <w:rsid w:val="00B200AA"/>
    <w:rsid w:val="00B203A9"/>
    <w:rsid w:val="00B229A5"/>
    <w:rsid w:val="00B2488E"/>
    <w:rsid w:val="00B25EB3"/>
    <w:rsid w:val="00B42056"/>
    <w:rsid w:val="00B478C3"/>
    <w:rsid w:val="00B52715"/>
    <w:rsid w:val="00B61348"/>
    <w:rsid w:val="00B6263F"/>
    <w:rsid w:val="00B67114"/>
    <w:rsid w:val="00B678C7"/>
    <w:rsid w:val="00B70368"/>
    <w:rsid w:val="00B7097C"/>
    <w:rsid w:val="00B72BCC"/>
    <w:rsid w:val="00B75449"/>
    <w:rsid w:val="00B81284"/>
    <w:rsid w:val="00B86DA1"/>
    <w:rsid w:val="00B87401"/>
    <w:rsid w:val="00B96B1E"/>
    <w:rsid w:val="00BA527C"/>
    <w:rsid w:val="00BA5B9C"/>
    <w:rsid w:val="00BA7D51"/>
    <w:rsid w:val="00BA7F31"/>
    <w:rsid w:val="00BB4AD5"/>
    <w:rsid w:val="00BB7494"/>
    <w:rsid w:val="00BB76A5"/>
    <w:rsid w:val="00BC089B"/>
    <w:rsid w:val="00BC183F"/>
    <w:rsid w:val="00BC1C37"/>
    <w:rsid w:val="00BC2390"/>
    <w:rsid w:val="00BC775D"/>
    <w:rsid w:val="00BD0051"/>
    <w:rsid w:val="00BD2939"/>
    <w:rsid w:val="00BD5A75"/>
    <w:rsid w:val="00BD6BF7"/>
    <w:rsid w:val="00BE07A9"/>
    <w:rsid w:val="00BE1700"/>
    <w:rsid w:val="00BE2E36"/>
    <w:rsid w:val="00BE4D8F"/>
    <w:rsid w:val="00BF0A3E"/>
    <w:rsid w:val="00BF26AC"/>
    <w:rsid w:val="00BF46A7"/>
    <w:rsid w:val="00BF5230"/>
    <w:rsid w:val="00BF6DA8"/>
    <w:rsid w:val="00C00289"/>
    <w:rsid w:val="00C1090C"/>
    <w:rsid w:val="00C201FC"/>
    <w:rsid w:val="00C240C8"/>
    <w:rsid w:val="00C249AF"/>
    <w:rsid w:val="00C26513"/>
    <w:rsid w:val="00C328C9"/>
    <w:rsid w:val="00C339ED"/>
    <w:rsid w:val="00C35BA8"/>
    <w:rsid w:val="00C37F72"/>
    <w:rsid w:val="00C40246"/>
    <w:rsid w:val="00C420C1"/>
    <w:rsid w:val="00C43FEE"/>
    <w:rsid w:val="00C45963"/>
    <w:rsid w:val="00C472B8"/>
    <w:rsid w:val="00C50723"/>
    <w:rsid w:val="00C529FD"/>
    <w:rsid w:val="00C53124"/>
    <w:rsid w:val="00C538A9"/>
    <w:rsid w:val="00C53B2E"/>
    <w:rsid w:val="00C6160A"/>
    <w:rsid w:val="00C62B51"/>
    <w:rsid w:val="00C65711"/>
    <w:rsid w:val="00C66460"/>
    <w:rsid w:val="00C76ECD"/>
    <w:rsid w:val="00C8221C"/>
    <w:rsid w:val="00C84B63"/>
    <w:rsid w:val="00C84E04"/>
    <w:rsid w:val="00C86DC6"/>
    <w:rsid w:val="00C910BE"/>
    <w:rsid w:val="00C922BE"/>
    <w:rsid w:val="00CA10F9"/>
    <w:rsid w:val="00CA14F4"/>
    <w:rsid w:val="00CA583F"/>
    <w:rsid w:val="00CA5844"/>
    <w:rsid w:val="00CA7415"/>
    <w:rsid w:val="00CB265C"/>
    <w:rsid w:val="00CB2BDD"/>
    <w:rsid w:val="00CB32BC"/>
    <w:rsid w:val="00CB4540"/>
    <w:rsid w:val="00CB4951"/>
    <w:rsid w:val="00CB7A07"/>
    <w:rsid w:val="00CC59BB"/>
    <w:rsid w:val="00CD1B93"/>
    <w:rsid w:val="00CD3BD4"/>
    <w:rsid w:val="00CD3CC8"/>
    <w:rsid w:val="00CD4915"/>
    <w:rsid w:val="00CD60BD"/>
    <w:rsid w:val="00CD635D"/>
    <w:rsid w:val="00CD6DEE"/>
    <w:rsid w:val="00CD7C5B"/>
    <w:rsid w:val="00CD7CED"/>
    <w:rsid w:val="00CE04C7"/>
    <w:rsid w:val="00CE2AC9"/>
    <w:rsid w:val="00CE2AFE"/>
    <w:rsid w:val="00CE7B14"/>
    <w:rsid w:val="00CF156B"/>
    <w:rsid w:val="00CF1E02"/>
    <w:rsid w:val="00CF4BD6"/>
    <w:rsid w:val="00CF597A"/>
    <w:rsid w:val="00D00228"/>
    <w:rsid w:val="00D00DA0"/>
    <w:rsid w:val="00D0103F"/>
    <w:rsid w:val="00D03E34"/>
    <w:rsid w:val="00D05BAA"/>
    <w:rsid w:val="00D07F26"/>
    <w:rsid w:val="00D11A09"/>
    <w:rsid w:val="00D11BCD"/>
    <w:rsid w:val="00D13B7A"/>
    <w:rsid w:val="00D17FD1"/>
    <w:rsid w:val="00D22C4B"/>
    <w:rsid w:val="00D230C7"/>
    <w:rsid w:val="00D23583"/>
    <w:rsid w:val="00D23E7D"/>
    <w:rsid w:val="00D2405F"/>
    <w:rsid w:val="00D26C71"/>
    <w:rsid w:val="00D30C7F"/>
    <w:rsid w:val="00D32DFB"/>
    <w:rsid w:val="00D41421"/>
    <w:rsid w:val="00D41998"/>
    <w:rsid w:val="00D41BA9"/>
    <w:rsid w:val="00D44059"/>
    <w:rsid w:val="00D4511A"/>
    <w:rsid w:val="00D51813"/>
    <w:rsid w:val="00D52376"/>
    <w:rsid w:val="00D53EE6"/>
    <w:rsid w:val="00D612C2"/>
    <w:rsid w:val="00D64D38"/>
    <w:rsid w:val="00D745E0"/>
    <w:rsid w:val="00D76AA3"/>
    <w:rsid w:val="00D80604"/>
    <w:rsid w:val="00D86529"/>
    <w:rsid w:val="00D86A86"/>
    <w:rsid w:val="00D8791E"/>
    <w:rsid w:val="00D92438"/>
    <w:rsid w:val="00DA0040"/>
    <w:rsid w:val="00DA086B"/>
    <w:rsid w:val="00DA1D7A"/>
    <w:rsid w:val="00DA5E0A"/>
    <w:rsid w:val="00DA6834"/>
    <w:rsid w:val="00DA7145"/>
    <w:rsid w:val="00DA78D8"/>
    <w:rsid w:val="00DA7E05"/>
    <w:rsid w:val="00DB4794"/>
    <w:rsid w:val="00DB5C3E"/>
    <w:rsid w:val="00DB628E"/>
    <w:rsid w:val="00DC4070"/>
    <w:rsid w:val="00DE1DE6"/>
    <w:rsid w:val="00DE1E39"/>
    <w:rsid w:val="00DE513D"/>
    <w:rsid w:val="00DF235C"/>
    <w:rsid w:val="00DF426D"/>
    <w:rsid w:val="00DF47D6"/>
    <w:rsid w:val="00DF4D5A"/>
    <w:rsid w:val="00DF5425"/>
    <w:rsid w:val="00DF782C"/>
    <w:rsid w:val="00E030A0"/>
    <w:rsid w:val="00E04F16"/>
    <w:rsid w:val="00E075A1"/>
    <w:rsid w:val="00E0797A"/>
    <w:rsid w:val="00E11D5D"/>
    <w:rsid w:val="00E124E3"/>
    <w:rsid w:val="00E12F81"/>
    <w:rsid w:val="00E14812"/>
    <w:rsid w:val="00E15231"/>
    <w:rsid w:val="00E15DDE"/>
    <w:rsid w:val="00E17B19"/>
    <w:rsid w:val="00E2339E"/>
    <w:rsid w:val="00E300BB"/>
    <w:rsid w:val="00E31D0A"/>
    <w:rsid w:val="00E3245B"/>
    <w:rsid w:val="00E32DCD"/>
    <w:rsid w:val="00E32DF0"/>
    <w:rsid w:val="00E3707B"/>
    <w:rsid w:val="00E50685"/>
    <w:rsid w:val="00E57F6B"/>
    <w:rsid w:val="00E609CE"/>
    <w:rsid w:val="00E6234F"/>
    <w:rsid w:val="00E67AC7"/>
    <w:rsid w:val="00E7134F"/>
    <w:rsid w:val="00E7342C"/>
    <w:rsid w:val="00E736E9"/>
    <w:rsid w:val="00E76363"/>
    <w:rsid w:val="00E90BE3"/>
    <w:rsid w:val="00E91374"/>
    <w:rsid w:val="00E91D81"/>
    <w:rsid w:val="00E92BC2"/>
    <w:rsid w:val="00EA010E"/>
    <w:rsid w:val="00EA28AB"/>
    <w:rsid w:val="00EA6FBF"/>
    <w:rsid w:val="00EB1E33"/>
    <w:rsid w:val="00EB4DA6"/>
    <w:rsid w:val="00EB7B0A"/>
    <w:rsid w:val="00EC0881"/>
    <w:rsid w:val="00EC74F9"/>
    <w:rsid w:val="00ED13DE"/>
    <w:rsid w:val="00ED1996"/>
    <w:rsid w:val="00ED2843"/>
    <w:rsid w:val="00ED2F55"/>
    <w:rsid w:val="00ED5ED8"/>
    <w:rsid w:val="00EE0C95"/>
    <w:rsid w:val="00EE3F0F"/>
    <w:rsid w:val="00EF0199"/>
    <w:rsid w:val="00F0263C"/>
    <w:rsid w:val="00F0402A"/>
    <w:rsid w:val="00F07266"/>
    <w:rsid w:val="00F16313"/>
    <w:rsid w:val="00F1700E"/>
    <w:rsid w:val="00F20820"/>
    <w:rsid w:val="00F20FF1"/>
    <w:rsid w:val="00F24317"/>
    <w:rsid w:val="00F27AC7"/>
    <w:rsid w:val="00F32641"/>
    <w:rsid w:val="00F34974"/>
    <w:rsid w:val="00F35457"/>
    <w:rsid w:val="00F3595B"/>
    <w:rsid w:val="00F367F3"/>
    <w:rsid w:val="00F36A26"/>
    <w:rsid w:val="00F41F54"/>
    <w:rsid w:val="00F426A6"/>
    <w:rsid w:val="00F429FD"/>
    <w:rsid w:val="00F45572"/>
    <w:rsid w:val="00F4623C"/>
    <w:rsid w:val="00F46AD7"/>
    <w:rsid w:val="00F56399"/>
    <w:rsid w:val="00F606BB"/>
    <w:rsid w:val="00F70113"/>
    <w:rsid w:val="00F746E3"/>
    <w:rsid w:val="00F76C17"/>
    <w:rsid w:val="00F7709C"/>
    <w:rsid w:val="00F7750A"/>
    <w:rsid w:val="00F80006"/>
    <w:rsid w:val="00F80084"/>
    <w:rsid w:val="00F95676"/>
    <w:rsid w:val="00F96401"/>
    <w:rsid w:val="00F9690B"/>
    <w:rsid w:val="00FA3F8B"/>
    <w:rsid w:val="00FA4498"/>
    <w:rsid w:val="00FA56FF"/>
    <w:rsid w:val="00FA767D"/>
    <w:rsid w:val="00FB693B"/>
    <w:rsid w:val="00FC3C96"/>
    <w:rsid w:val="00FD2470"/>
    <w:rsid w:val="00FD5823"/>
    <w:rsid w:val="00FD7BE0"/>
    <w:rsid w:val="00FE1C27"/>
    <w:rsid w:val="00FE326F"/>
    <w:rsid w:val="00FE5C31"/>
    <w:rsid w:val="00FF0F20"/>
    <w:rsid w:val="00FF1B0E"/>
    <w:rsid w:val="00FF268A"/>
    <w:rsid w:val="00FF748B"/>
    <w:rsid w:val="016D651D"/>
    <w:rsid w:val="01A4698D"/>
    <w:rsid w:val="01AC7D42"/>
    <w:rsid w:val="01D34B7C"/>
    <w:rsid w:val="01EF13EE"/>
    <w:rsid w:val="026B1259"/>
    <w:rsid w:val="030620E3"/>
    <w:rsid w:val="032A692E"/>
    <w:rsid w:val="036F2FCB"/>
    <w:rsid w:val="041F677E"/>
    <w:rsid w:val="047563BF"/>
    <w:rsid w:val="05482939"/>
    <w:rsid w:val="05DE4C41"/>
    <w:rsid w:val="06F832D7"/>
    <w:rsid w:val="071C6FC5"/>
    <w:rsid w:val="07AF7809"/>
    <w:rsid w:val="07F103E0"/>
    <w:rsid w:val="085F360E"/>
    <w:rsid w:val="08680230"/>
    <w:rsid w:val="08C4191D"/>
    <w:rsid w:val="092E6FC0"/>
    <w:rsid w:val="09502F56"/>
    <w:rsid w:val="09F9539C"/>
    <w:rsid w:val="0A2E787B"/>
    <w:rsid w:val="0A627A08"/>
    <w:rsid w:val="0BB87E47"/>
    <w:rsid w:val="0BC65EED"/>
    <w:rsid w:val="0C565D86"/>
    <w:rsid w:val="0C5745FC"/>
    <w:rsid w:val="0D1F249B"/>
    <w:rsid w:val="0E1B2B87"/>
    <w:rsid w:val="0E9A30CD"/>
    <w:rsid w:val="0EEE33EF"/>
    <w:rsid w:val="10EC0FAC"/>
    <w:rsid w:val="10FE773C"/>
    <w:rsid w:val="119D02B2"/>
    <w:rsid w:val="11F84124"/>
    <w:rsid w:val="12875060"/>
    <w:rsid w:val="128E689D"/>
    <w:rsid w:val="12B376E7"/>
    <w:rsid w:val="134507BF"/>
    <w:rsid w:val="13BF59D3"/>
    <w:rsid w:val="1467579A"/>
    <w:rsid w:val="147A5E14"/>
    <w:rsid w:val="148C36F9"/>
    <w:rsid w:val="1514752E"/>
    <w:rsid w:val="156A648E"/>
    <w:rsid w:val="158C7B2F"/>
    <w:rsid w:val="15BB3449"/>
    <w:rsid w:val="165168F6"/>
    <w:rsid w:val="175B1444"/>
    <w:rsid w:val="17A1211B"/>
    <w:rsid w:val="17BF5E77"/>
    <w:rsid w:val="18B51028"/>
    <w:rsid w:val="18ED7A84"/>
    <w:rsid w:val="191656EC"/>
    <w:rsid w:val="19255AF5"/>
    <w:rsid w:val="1AFC2F3E"/>
    <w:rsid w:val="1BB543E9"/>
    <w:rsid w:val="1C0142EF"/>
    <w:rsid w:val="1D492695"/>
    <w:rsid w:val="1E7404B1"/>
    <w:rsid w:val="1ED3045A"/>
    <w:rsid w:val="1F0D01CA"/>
    <w:rsid w:val="1F3C5FFF"/>
    <w:rsid w:val="208C08C0"/>
    <w:rsid w:val="20DC3BCB"/>
    <w:rsid w:val="21100496"/>
    <w:rsid w:val="21864056"/>
    <w:rsid w:val="229468F2"/>
    <w:rsid w:val="2296681D"/>
    <w:rsid w:val="231A4415"/>
    <w:rsid w:val="23A078F6"/>
    <w:rsid w:val="23DE58D7"/>
    <w:rsid w:val="2486441F"/>
    <w:rsid w:val="24A61A92"/>
    <w:rsid w:val="26190E48"/>
    <w:rsid w:val="270422EA"/>
    <w:rsid w:val="278A3680"/>
    <w:rsid w:val="28293963"/>
    <w:rsid w:val="28BC3D0D"/>
    <w:rsid w:val="297232B7"/>
    <w:rsid w:val="29A053DC"/>
    <w:rsid w:val="29A45574"/>
    <w:rsid w:val="2A0840A8"/>
    <w:rsid w:val="2AA01F44"/>
    <w:rsid w:val="2BA73C96"/>
    <w:rsid w:val="2BAC4166"/>
    <w:rsid w:val="2C994A91"/>
    <w:rsid w:val="2CD938C6"/>
    <w:rsid w:val="2D2533FF"/>
    <w:rsid w:val="2D54393E"/>
    <w:rsid w:val="2D6F75A0"/>
    <w:rsid w:val="2DAF2604"/>
    <w:rsid w:val="2F762E67"/>
    <w:rsid w:val="300C58E0"/>
    <w:rsid w:val="30575A14"/>
    <w:rsid w:val="30752B57"/>
    <w:rsid w:val="30795131"/>
    <w:rsid w:val="30DB0E8A"/>
    <w:rsid w:val="31437AB0"/>
    <w:rsid w:val="323C3ADD"/>
    <w:rsid w:val="32826FAB"/>
    <w:rsid w:val="3374101A"/>
    <w:rsid w:val="33DC1321"/>
    <w:rsid w:val="34341B26"/>
    <w:rsid w:val="34781430"/>
    <w:rsid w:val="3599413A"/>
    <w:rsid w:val="35D73F34"/>
    <w:rsid w:val="368816D2"/>
    <w:rsid w:val="3758245C"/>
    <w:rsid w:val="37EA43F2"/>
    <w:rsid w:val="3806257F"/>
    <w:rsid w:val="38DF7CCF"/>
    <w:rsid w:val="396C4554"/>
    <w:rsid w:val="39990B41"/>
    <w:rsid w:val="39AE7B43"/>
    <w:rsid w:val="3ACE5D4F"/>
    <w:rsid w:val="3BE07572"/>
    <w:rsid w:val="3BFA6BCE"/>
    <w:rsid w:val="3C2A3E3D"/>
    <w:rsid w:val="3C55524B"/>
    <w:rsid w:val="3DF6488D"/>
    <w:rsid w:val="3E016663"/>
    <w:rsid w:val="3F277CDA"/>
    <w:rsid w:val="3F757706"/>
    <w:rsid w:val="3F7B1DD4"/>
    <w:rsid w:val="400C0899"/>
    <w:rsid w:val="406334F2"/>
    <w:rsid w:val="409F14A1"/>
    <w:rsid w:val="40F462E2"/>
    <w:rsid w:val="410D73A4"/>
    <w:rsid w:val="411E42A6"/>
    <w:rsid w:val="415F6EA3"/>
    <w:rsid w:val="41656898"/>
    <w:rsid w:val="4178689A"/>
    <w:rsid w:val="422259EF"/>
    <w:rsid w:val="4244590F"/>
    <w:rsid w:val="428B7CF0"/>
    <w:rsid w:val="430A54EC"/>
    <w:rsid w:val="44305883"/>
    <w:rsid w:val="44CF05F0"/>
    <w:rsid w:val="452C7897"/>
    <w:rsid w:val="456A52BB"/>
    <w:rsid w:val="45961716"/>
    <w:rsid w:val="469D4D26"/>
    <w:rsid w:val="4853532F"/>
    <w:rsid w:val="487D22F3"/>
    <w:rsid w:val="490D56B4"/>
    <w:rsid w:val="494C6B8D"/>
    <w:rsid w:val="497B7CB3"/>
    <w:rsid w:val="4989713F"/>
    <w:rsid w:val="4B2D12E0"/>
    <w:rsid w:val="4B4E65EF"/>
    <w:rsid w:val="4B612C56"/>
    <w:rsid w:val="4BEB6B31"/>
    <w:rsid w:val="4D623BB0"/>
    <w:rsid w:val="4D6C0FAE"/>
    <w:rsid w:val="4DD36371"/>
    <w:rsid w:val="4DF4309F"/>
    <w:rsid w:val="4E3718BB"/>
    <w:rsid w:val="4EC015B1"/>
    <w:rsid w:val="4EE74D90"/>
    <w:rsid w:val="4F070047"/>
    <w:rsid w:val="4F3C244F"/>
    <w:rsid w:val="4F6D45BC"/>
    <w:rsid w:val="4FF736F9"/>
    <w:rsid w:val="506528A0"/>
    <w:rsid w:val="508751E9"/>
    <w:rsid w:val="50B60EBE"/>
    <w:rsid w:val="5115115D"/>
    <w:rsid w:val="511938CC"/>
    <w:rsid w:val="517A013D"/>
    <w:rsid w:val="521A140B"/>
    <w:rsid w:val="521E4A24"/>
    <w:rsid w:val="52D92ACB"/>
    <w:rsid w:val="53B4776F"/>
    <w:rsid w:val="53C27E23"/>
    <w:rsid w:val="53DF1E3A"/>
    <w:rsid w:val="541C2DF8"/>
    <w:rsid w:val="54C9378E"/>
    <w:rsid w:val="558E730F"/>
    <w:rsid w:val="56876F86"/>
    <w:rsid w:val="56C42C19"/>
    <w:rsid w:val="57C117B3"/>
    <w:rsid w:val="57FB583B"/>
    <w:rsid w:val="598236B2"/>
    <w:rsid w:val="59EC3BA2"/>
    <w:rsid w:val="5AF022D4"/>
    <w:rsid w:val="5B137C55"/>
    <w:rsid w:val="5B53769C"/>
    <w:rsid w:val="5C2515ED"/>
    <w:rsid w:val="5CA67F0E"/>
    <w:rsid w:val="5DE56D17"/>
    <w:rsid w:val="5E0F1C0D"/>
    <w:rsid w:val="5F506981"/>
    <w:rsid w:val="5F8F74FF"/>
    <w:rsid w:val="5F9A5D58"/>
    <w:rsid w:val="5FA56176"/>
    <w:rsid w:val="60524F1E"/>
    <w:rsid w:val="61882403"/>
    <w:rsid w:val="61F3071F"/>
    <w:rsid w:val="62470C18"/>
    <w:rsid w:val="634D6A0B"/>
    <w:rsid w:val="63BD1AE0"/>
    <w:rsid w:val="6416529B"/>
    <w:rsid w:val="642A232E"/>
    <w:rsid w:val="64805613"/>
    <w:rsid w:val="64897A3F"/>
    <w:rsid w:val="64EC6038"/>
    <w:rsid w:val="65611973"/>
    <w:rsid w:val="66E75BEE"/>
    <w:rsid w:val="67AF51F9"/>
    <w:rsid w:val="68242759"/>
    <w:rsid w:val="68BD663A"/>
    <w:rsid w:val="692F74C0"/>
    <w:rsid w:val="69622518"/>
    <w:rsid w:val="69912070"/>
    <w:rsid w:val="6A1F142A"/>
    <w:rsid w:val="6A82780A"/>
    <w:rsid w:val="6B735ED1"/>
    <w:rsid w:val="6C1E70D4"/>
    <w:rsid w:val="6C2E1DF8"/>
    <w:rsid w:val="6CD74250"/>
    <w:rsid w:val="6D035033"/>
    <w:rsid w:val="6D116F37"/>
    <w:rsid w:val="6D694BE1"/>
    <w:rsid w:val="6E6B10E2"/>
    <w:rsid w:val="6F9B5A6D"/>
    <w:rsid w:val="6FD32AC9"/>
    <w:rsid w:val="6FE969BF"/>
    <w:rsid w:val="701245F9"/>
    <w:rsid w:val="7043165D"/>
    <w:rsid w:val="705B6F34"/>
    <w:rsid w:val="70ED4030"/>
    <w:rsid w:val="711357E6"/>
    <w:rsid w:val="71175C34"/>
    <w:rsid w:val="7195081B"/>
    <w:rsid w:val="71D05B31"/>
    <w:rsid w:val="71E3523C"/>
    <w:rsid w:val="71F413EE"/>
    <w:rsid w:val="733D158C"/>
    <w:rsid w:val="739C6CFE"/>
    <w:rsid w:val="73F73D74"/>
    <w:rsid w:val="74562926"/>
    <w:rsid w:val="74883C78"/>
    <w:rsid w:val="74C87344"/>
    <w:rsid w:val="74D70DF7"/>
    <w:rsid w:val="750D16CF"/>
    <w:rsid w:val="753B7291"/>
    <w:rsid w:val="75C12AE7"/>
    <w:rsid w:val="75D532E5"/>
    <w:rsid w:val="75D6753F"/>
    <w:rsid w:val="76437BBA"/>
    <w:rsid w:val="77062109"/>
    <w:rsid w:val="77072FF5"/>
    <w:rsid w:val="778206F3"/>
    <w:rsid w:val="786B7A3D"/>
    <w:rsid w:val="789F3DA6"/>
    <w:rsid w:val="78A52377"/>
    <w:rsid w:val="79050385"/>
    <w:rsid w:val="79082185"/>
    <w:rsid w:val="793D4AD4"/>
    <w:rsid w:val="7A6F77AB"/>
    <w:rsid w:val="7A7A65AB"/>
    <w:rsid w:val="7B5B7497"/>
    <w:rsid w:val="7BC50B45"/>
    <w:rsid w:val="7BEC4A99"/>
    <w:rsid w:val="7BEF5F10"/>
    <w:rsid w:val="7C727ADF"/>
    <w:rsid w:val="7CA104C5"/>
    <w:rsid w:val="7CCF17B5"/>
    <w:rsid w:val="7D0135B1"/>
    <w:rsid w:val="7DB91D75"/>
    <w:rsid w:val="7DD936CB"/>
    <w:rsid w:val="7E9F221F"/>
    <w:rsid w:val="7EA321D2"/>
    <w:rsid w:val="7EB03BCE"/>
    <w:rsid w:val="7EE97A38"/>
    <w:rsid w:val="7FBC791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212"/>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213"/>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59">
    <w:name w:val="Default Paragraph Font"/>
    <w:qFormat/>
    <w:uiPriority w:val="0"/>
  </w:style>
  <w:style w:type="table" w:default="1" w:styleId="5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beforeLines="0"/>
    </w:pPr>
    <w:rPr>
      <w:rFonts w:ascii="Arial" w:hAnsi="Arial"/>
      <w:sz w:val="24"/>
    </w:rPr>
  </w:style>
  <w:style w:type="paragraph" w:styleId="19">
    <w:name w:val="annotation text"/>
    <w:basedOn w:val="1"/>
    <w:link w:val="214"/>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afterLines="0" w:afterAutospacing="0" w:line="360" w:lineRule="auto"/>
    </w:pPr>
    <w:rPr>
      <w:sz w:val="16"/>
    </w:rPr>
  </w:style>
  <w:style w:type="paragraph" w:styleId="21">
    <w:name w:val="List Bullet 3"/>
    <w:basedOn w:val="1"/>
    <w:qFormat/>
    <w:uiPriority w:val="0"/>
    <w:pPr>
      <w:numPr>
        <w:ilvl w:val="0"/>
        <w:numId w:val="3"/>
      </w:numPr>
      <w:adjustRightInd w:val="0"/>
      <w:snapToGrid w:val="0"/>
      <w:spacing w:line="360" w:lineRule="auto"/>
    </w:pPr>
    <w:rPr>
      <w:sz w:val="24"/>
    </w:rPr>
  </w:style>
  <w:style w:type="paragraph" w:styleId="22">
    <w:name w:val="Body Text"/>
    <w:basedOn w:val="1"/>
    <w:next w:val="1"/>
    <w:qFormat/>
    <w:uiPriority w:val="0"/>
    <w:rPr>
      <w:rFonts w:ascii="仿宋_GB2312" w:eastAsia="仿宋_GB2312"/>
      <w:sz w:val="32"/>
    </w:rPr>
  </w:style>
  <w:style w:type="paragraph" w:styleId="23">
    <w:name w:val="Body Text Indent"/>
    <w:basedOn w:val="1"/>
    <w:link w:val="215"/>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afterLines="0" w:afterAutospacing="0" w:line="360" w:lineRule="auto"/>
      <w:ind w:left="420" w:leftChars="200"/>
    </w:pPr>
    <w:rPr>
      <w:sz w:val="24"/>
    </w:rPr>
  </w:style>
  <w:style w:type="paragraph" w:styleId="27">
    <w:name w:val="List Bullet 2"/>
    <w:basedOn w:val="1"/>
    <w:qFormat/>
    <w:uiPriority w:val="0"/>
    <w:pPr>
      <w:numPr>
        <w:ilvl w:val="0"/>
        <w:numId w:val="4"/>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link w:val="216"/>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217"/>
    <w:qFormat/>
    <w:uiPriority w:val="0"/>
  </w:style>
  <w:style w:type="paragraph" w:styleId="33">
    <w:name w:val="Body Text Indent 2"/>
    <w:basedOn w:val="1"/>
    <w:link w:val="218"/>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219"/>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afterLines="0" w:afterAutospacing="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0">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1">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4">
    <w:name w:val="annotation subject"/>
    <w:basedOn w:val="19"/>
    <w:next w:val="19"/>
    <w:link w:val="220"/>
    <w:qFormat/>
    <w:uiPriority w:val="0"/>
    <w:pPr>
      <w:adjustRightInd/>
      <w:spacing w:line="240" w:lineRule="auto"/>
      <w:textAlignment w:val="auto"/>
    </w:pPr>
  </w:style>
  <w:style w:type="paragraph" w:styleId="55">
    <w:name w:val="Body Text First Indent"/>
    <w:basedOn w:val="1"/>
    <w:qFormat/>
    <w:uiPriority w:val="0"/>
    <w:pPr>
      <w:spacing w:line="360" w:lineRule="auto"/>
      <w:ind w:firstLine="420"/>
    </w:pPr>
    <w:rPr>
      <w:rFonts w:ascii="宋体" w:hAnsi="宋体"/>
      <w:sz w:val="24"/>
    </w:rPr>
  </w:style>
  <w:style w:type="paragraph" w:styleId="56">
    <w:name w:val="Body Text First Indent 2"/>
    <w:basedOn w:val="23"/>
    <w:link w:val="221"/>
    <w:qFormat/>
    <w:uiPriority w:val="0"/>
    <w:pPr>
      <w:spacing w:after="120" w:afterLines="0" w:line="240" w:lineRule="auto"/>
      <w:ind w:left="420" w:leftChars="200" w:firstLine="420" w:firstLineChars="200"/>
    </w:pPr>
  </w:style>
  <w:style w:type="table" w:styleId="58">
    <w:name w:val="Table Grid"/>
    <w:basedOn w:val="5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qFormat/>
    <w:uiPriority w:val="22"/>
    <w:rPr>
      <w:b/>
    </w:rPr>
  </w:style>
  <w:style w:type="character" w:styleId="61">
    <w:name w:val="page number"/>
    <w:qFormat/>
    <w:uiPriority w:val="0"/>
  </w:style>
  <w:style w:type="character" w:styleId="62">
    <w:name w:val="FollowedHyperlink"/>
    <w:qFormat/>
    <w:uiPriority w:val="0"/>
    <w:rPr>
      <w:color w:val="800080"/>
      <w:u w:val="single"/>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paragraph" w:customStyle="1" w:styleId="67">
    <w:name w:val=" Char1"/>
    <w:basedOn w:val="1"/>
    <w:qFormat/>
    <w:uiPriority w:val="0"/>
    <w:rPr>
      <w:sz w:val="21"/>
    </w:rPr>
  </w:style>
  <w:style w:type="paragraph" w:customStyle="1" w:styleId="68">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69">
    <w:name w:val=" Char1 Char Char Char"/>
    <w:basedOn w:val="1"/>
    <w:qFormat/>
    <w:uiPriority w:val="0"/>
    <w:rPr>
      <w:rFonts w:ascii="Tahoma" w:hAnsi="Tahoma"/>
      <w:sz w:val="24"/>
    </w:rPr>
  </w:style>
  <w:style w:type="paragraph" w:customStyle="1" w:styleId="70">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71">
    <w:name w:val="文章正文"/>
    <w:basedOn w:val="1"/>
    <w:qFormat/>
    <w:uiPriority w:val="0"/>
    <w:pPr>
      <w:ind w:firstLine="560" w:firstLineChars="200"/>
    </w:pPr>
    <w:rPr>
      <w:rFonts w:ascii="仿宋_GB2312" w:hAnsi="宋体" w:eastAsia="仿宋_GB2312"/>
      <w:color w:val="000000"/>
    </w:rPr>
  </w:style>
  <w:style w:type="paragraph" w:customStyle="1" w:styleId="72">
    <w:name w:val="表头文本"/>
    <w:qFormat/>
    <w:uiPriority w:val="0"/>
    <w:pPr>
      <w:jc w:val="center"/>
    </w:pPr>
    <w:rPr>
      <w:rFonts w:ascii="Arial" w:hAnsi="Arial" w:eastAsia="宋体" w:cs="Times New Roman"/>
      <w:b/>
      <w:sz w:val="21"/>
      <w:lang w:val="en-US" w:eastAsia="zh-CN" w:bidi="ar-SA"/>
    </w:rPr>
  </w:style>
  <w:style w:type="paragraph" w:customStyle="1" w:styleId="73">
    <w:name w:val=" Char Char14 Char Char"/>
    <w:basedOn w:val="1"/>
    <w:qFormat/>
    <w:uiPriority w:val="0"/>
    <w:rPr>
      <w:sz w:val="21"/>
      <w:szCs w:val="24"/>
    </w:rPr>
  </w:style>
  <w:style w:type="paragraph" w:customStyle="1" w:styleId="74">
    <w:name w:val="Item List"/>
    <w:qFormat/>
    <w:uiPriority w:val="0"/>
    <w:pPr>
      <w:numPr>
        <w:ilvl w:val="0"/>
        <w:numId w:val="5"/>
      </w:numPr>
      <w:spacing w:line="300" w:lineRule="auto"/>
      <w:jc w:val="both"/>
    </w:pPr>
    <w:rPr>
      <w:rFonts w:ascii="Arial" w:hAnsi="Arial" w:eastAsia="宋体" w:cs="Times New Roman"/>
      <w:sz w:val="21"/>
      <w:lang w:val="en-US" w:eastAsia="zh-CN" w:bidi="ar-SA"/>
    </w:rPr>
  </w:style>
  <w:style w:type="paragraph" w:customStyle="1" w:styleId="75">
    <w:name w:val="Body Text Indent 2"/>
    <w:basedOn w:val="1"/>
    <w:qFormat/>
    <w:uiPriority w:val="0"/>
    <w:pPr>
      <w:adjustRightInd w:val="0"/>
      <w:spacing w:before="120" w:beforeLines="0" w:beforeAutospacing="0"/>
      <w:ind w:firstLine="420"/>
      <w:textAlignment w:val="baseline"/>
    </w:pPr>
    <w:rPr>
      <w:sz w:val="24"/>
    </w:rPr>
  </w:style>
  <w:style w:type="paragraph" w:customStyle="1" w:styleId="76">
    <w:name w:val="样式 首行缩进:  0.74 厘米"/>
    <w:basedOn w:val="1"/>
    <w:qFormat/>
    <w:uiPriority w:val="0"/>
    <w:pPr>
      <w:spacing w:line="360" w:lineRule="auto"/>
      <w:ind w:firstLine="420"/>
    </w:pPr>
    <w:rPr>
      <w:sz w:val="24"/>
    </w:rPr>
  </w:style>
  <w:style w:type="paragraph" w:customStyle="1" w:styleId="77">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78">
    <w:name w:val="图片文字"/>
    <w:basedOn w:val="1"/>
    <w:qFormat/>
    <w:uiPriority w:val="0"/>
    <w:pPr>
      <w:spacing w:line="240" w:lineRule="atLeast"/>
      <w:jc w:val="center"/>
    </w:pPr>
    <w:rPr>
      <w:sz w:val="21"/>
    </w:rPr>
  </w:style>
  <w:style w:type="paragraph" w:customStyle="1" w:styleId="79">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80">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8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82">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3">
    <w:name w:val="标题2"/>
    <w:basedOn w:val="3"/>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84">
    <w:name w:val="正文（首行不缩进）"/>
    <w:basedOn w:val="1"/>
    <w:qFormat/>
    <w:uiPriority w:val="0"/>
    <w:pPr>
      <w:autoSpaceDE w:val="0"/>
      <w:autoSpaceDN w:val="0"/>
      <w:adjustRightInd w:val="0"/>
      <w:spacing w:line="360" w:lineRule="auto"/>
      <w:jc w:val="left"/>
    </w:pPr>
    <w:rPr>
      <w:kern w:val="0"/>
      <w:sz w:val="21"/>
    </w:rPr>
  </w:style>
  <w:style w:type="paragraph" w:customStyle="1" w:styleId="85">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86">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87">
    <w:name w:val="Item Step in Table"/>
    <w:qFormat/>
    <w:uiPriority w:val="0"/>
    <w:pPr>
      <w:numPr>
        <w:ilvl w:val="0"/>
        <w:numId w:val="6"/>
      </w:numPr>
      <w:tabs>
        <w:tab w:val="left" w:pos="397"/>
      </w:tabs>
      <w:spacing w:before="40" w:after="40"/>
      <w:jc w:val="both"/>
    </w:pPr>
    <w:rPr>
      <w:rFonts w:ascii="Arial" w:hAnsi="Arial" w:eastAsia="宋体" w:cs="Times New Roman"/>
      <w:sz w:val="18"/>
      <w:lang w:val="en-US" w:eastAsia="zh-CN" w:bidi="ar-SA"/>
    </w:rPr>
  </w:style>
  <w:style w:type="paragraph" w:customStyle="1" w:styleId="88">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89">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90">
    <w:name w:val="标题3——2"/>
    <w:basedOn w:val="4"/>
    <w:next w:val="55"/>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91">
    <w:name w:val="Table Contents"/>
    <w:basedOn w:val="22"/>
    <w:qFormat/>
    <w:uiPriority w:val="0"/>
    <w:pPr>
      <w:suppressAutoHyphens/>
      <w:jc w:val="left"/>
    </w:pPr>
    <w:rPr>
      <w:rFonts w:ascii="Times New Roman" w:eastAsia="Times New Roman"/>
      <w:kern w:val="0"/>
      <w:sz w:val="24"/>
    </w:rPr>
  </w:style>
  <w:style w:type="paragraph" w:customStyle="1" w:styleId="92">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93">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94">
    <w:name w:val="样式 标题 6第五层条 + 三号 段前: 0.5 行"/>
    <w:basedOn w:val="7"/>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95">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96">
    <w:name w:val="编号正文"/>
    <w:basedOn w:val="97"/>
    <w:qFormat/>
    <w:uiPriority w:val="0"/>
    <w:pPr>
      <w:snapToGrid/>
      <w:spacing w:line="360" w:lineRule="auto"/>
      <w:ind w:left="1407" w:hanging="1047"/>
      <w:jc w:val="left"/>
    </w:pPr>
    <w:rPr>
      <w:rFonts w:eastAsia="仿宋_GB2312"/>
    </w:rPr>
  </w:style>
  <w:style w:type="paragraph" w:customStyle="1" w:styleId="9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98">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99">
    <w:name w:val="样式2"/>
    <w:basedOn w:val="5"/>
    <w:qFormat/>
    <w:uiPriority w:val="0"/>
    <w:pPr>
      <w:numPr>
        <w:ilvl w:val="0"/>
        <w:numId w:val="7"/>
      </w:numPr>
      <w:spacing w:before="560" w:beforeLines="0" w:line="400" w:lineRule="exact"/>
      <w:jc w:val="center"/>
      <w:outlineLvl w:val="0"/>
    </w:pPr>
    <w:rPr>
      <w:b w:val="0"/>
      <w:sz w:val="44"/>
    </w:rPr>
  </w:style>
  <w:style w:type="paragraph" w:customStyle="1" w:styleId="100">
    <w:name w:val="Title - Revision"/>
    <w:basedOn w:val="53"/>
    <w:qFormat/>
    <w:uiPriority w:val="0"/>
    <w:pPr>
      <w:spacing w:before="720" w:beforeLines="0" w:beforeAutospacing="0"/>
    </w:pPr>
  </w:style>
  <w:style w:type="paragraph" w:customStyle="1" w:styleId="101">
    <w:name w:val="样式1"/>
    <w:basedOn w:val="5"/>
    <w:qFormat/>
    <w:uiPriority w:val="0"/>
    <w:pPr>
      <w:tabs>
        <w:tab w:val="left" w:pos="720"/>
      </w:tabs>
      <w:spacing w:before="500" w:beforeLines="0" w:beforeAutospacing="0" w:after="260" w:afterLines="0" w:afterAutospacing="0" w:line="560" w:lineRule="atLeast"/>
      <w:ind w:left="420" w:hanging="420"/>
    </w:pPr>
  </w:style>
  <w:style w:type="paragraph" w:customStyle="1" w:styleId="102">
    <w:name w:val=" Char Char Char"/>
    <w:basedOn w:val="1"/>
    <w:qFormat/>
    <w:uiPriority w:val="0"/>
    <w:rPr>
      <w:rFonts w:ascii="Tahoma" w:hAnsi="Tahoma"/>
      <w:sz w:val="24"/>
    </w:rPr>
  </w:style>
  <w:style w:type="paragraph" w:customStyle="1" w:styleId="103">
    <w:name w:val="标题无"/>
    <w:basedOn w:val="1"/>
    <w:qFormat/>
    <w:uiPriority w:val="0"/>
    <w:pPr>
      <w:spacing w:line="360" w:lineRule="auto"/>
    </w:pPr>
    <w:rPr>
      <w:sz w:val="24"/>
    </w:rPr>
  </w:style>
  <w:style w:type="paragraph" w:customStyle="1" w:styleId="104">
    <w:name w:val="Style Heading 3h3Heading 3 - oldLevel 3 HeadH3level_3PIM 3se..."/>
    <w:basedOn w:val="4"/>
    <w:qFormat/>
    <w:uiPriority w:val="0"/>
    <w:pPr>
      <w:numPr>
        <w:ilvl w:val="2"/>
        <w:numId w:val="2"/>
      </w:numPr>
      <w:tabs>
        <w:tab w:val="left" w:pos="709"/>
        <w:tab w:val="left" w:pos="1620"/>
      </w:tabs>
      <w:spacing w:line="413" w:lineRule="auto"/>
    </w:pPr>
  </w:style>
  <w:style w:type="paragraph" w:customStyle="1" w:styleId="105">
    <w:name w:val="标题 5（有编号）（绿盟科技）"/>
    <w:basedOn w:val="1"/>
    <w:next w:val="106"/>
    <w:qFormat/>
    <w:uiPriority w:val="0"/>
    <w:pPr>
      <w:keepNext/>
      <w:keepLines/>
      <w:numPr>
        <w:ilvl w:val="4"/>
        <w:numId w:val="8"/>
      </w:numPr>
      <w:spacing w:before="280" w:after="156" w:line="377" w:lineRule="auto"/>
      <w:outlineLvl w:val="4"/>
    </w:pPr>
    <w:rPr>
      <w:rFonts w:ascii="Arial" w:hAnsi="Arial" w:eastAsia="黑体"/>
      <w:b/>
      <w:sz w:val="24"/>
      <w:szCs w:val="28"/>
    </w:rPr>
  </w:style>
  <w:style w:type="paragraph" w:customStyle="1" w:styleId="106">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07">
    <w:name w:val=" Char Char Char Char Char Char Char"/>
    <w:basedOn w:val="1"/>
    <w:qFormat/>
    <w:uiPriority w:val="0"/>
    <w:rPr>
      <w:rFonts w:ascii="Tahoma" w:hAnsi="Tahoma"/>
      <w:sz w:val="24"/>
    </w:rPr>
  </w:style>
  <w:style w:type="paragraph" w:customStyle="1" w:styleId="108">
    <w:name w:val="样式 标题 1章标题Heading 0Section HeadPIM 1H1h11st levell11H1..."/>
    <w:basedOn w:val="2"/>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109">
    <w:name w:val=" Char"/>
    <w:basedOn w:val="1"/>
    <w:qFormat/>
    <w:uiPriority w:val="0"/>
    <w:pPr>
      <w:spacing w:line="240" w:lineRule="atLeast"/>
      <w:ind w:left="420" w:firstLine="420"/>
    </w:pPr>
    <w:rPr>
      <w:kern w:val="0"/>
      <w:sz w:val="21"/>
    </w:rPr>
  </w:style>
  <w:style w:type="paragraph" w:customStyle="1" w:styleId="110">
    <w:name w:val="文字"/>
    <w:basedOn w:val="1"/>
    <w:link w:val="204"/>
    <w:qFormat/>
    <w:uiPriority w:val="0"/>
    <w:pPr>
      <w:tabs>
        <w:tab w:val="left" w:pos="8520"/>
      </w:tabs>
      <w:spacing w:line="312" w:lineRule="auto"/>
      <w:ind w:right="-210" w:firstLine="556"/>
    </w:pPr>
    <w:rPr>
      <w:rFonts w:ascii="宋体"/>
    </w:rPr>
  </w:style>
  <w:style w:type="paragraph" w:customStyle="1" w:styleId="111">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12">
    <w:name w:val="Title - Date"/>
    <w:basedOn w:val="53"/>
    <w:next w:val="1"/>
    <w:qFormat/>
    <w:uiPriority w:val="0"/>
    <w:pPr>
      <w:spacing w:before="240" w:beforeLines="0" w:beforeAutospacing="0" w:after="720" w:afterLines="0" w:afterAutospacing="0"/>
    </w:pPr>
    <w:rPr>
      <w:sz w:val="28"/>
    </w:rPr>
  </w:style>
  <w:style w:type="paragraph" w:customStyle="1" w:styleId="113">
    <w:name w:val="Char Char Char Char Char Char Char"/>
    <w:basedOn w:val="17"/>
    <w:qFormat/>
    <w:uiPriority w:val="0"/>
    <w:rPr>
      <w:rFonts w:ascii="宋体" w:hAnsi="Tahoma"/>
    </w:rPr>
  </w:style>
  <w:style w:type="paragraph" w:customStyle="1" w:styleId="114">
    <w:name w:val="默认段落字体 Para Char Char Char Char Char Char Char Char Char1 Char Char Char Char"/>
    <w:basedOn w:val="1"/>
    <w:qFormat/>
    <w:uiPriority w:val="0"/>
    <w:rPr>
      <w:rFonts w:ascii="Tahoma" w:hAnsi="Tahoma"/>
      <w:sz w:val="24"/>
    </w:rPr>
  </w:style>
  <w:style w:type="paragraph" w:customStyle="1" w:styleId="115">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16">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17">
    <w:name w:val="一级条标题"/>
    <w:basedOn w:val="118"/>
    <w:next w:val="119"/>
    <w:qFormat/>
    <w:uiPriority w:val="0"/>
    <w:pPr>
      <w:numPr>
        <w:ilvl w:val="1"/>
        <w:numId w:val="0"/>
      </w:numPr>
      <w:spacing w:before="0" w:beforeLines="0" w:beforeAutospacing="0" w:after="0" w:afterLines="0" w:afterAutospacing="0"/>
      <w:ind w:left="525"/>
      <w:outlineLvl w:val="2"/>
    </w:pPr>
    <w:rPr>
      <w:sz w:val="21"/>
    </w:rPr>
  </w:style>
  <w:style w:type="paragraph" w:customStyle="1" w:styleId="118">
    <w:name w:val="章标题"/>
    <w:next w:val="1"/>
    <w:qFormat/>
    <w:uiPriority w:val="0"/>
    <w:pPr>
      <w:numPr>
        <w:ilvl w:val="1"/>
        <w:numId w:val="6"/>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1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0">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21">
    <w:name w:val="00"/>
    <w:basedOn w:val="1"/>
    <w:qFormat/>
    <w:uiPriority w:val="0"/>
    <w:pPr>
      <w:autoSpaceDE w:val="0"/>
      <w:autoSpaceDN w:val="0"/>
      <w:adjustRightInd w:val="0"/>
      <w:jc w:val="left"/>
    </w:pPr>
    <w:rPr>
      <w:rFonts w:ascii="黑体" w:eastAsia="黑体"/>
      <w:b/>
      <w:kern w:val="0"/>
      <w:sz w:val="20"/>
    </w:rPr>
  </w:style>
  <w:style w:type="paragraph" w:customStyle="1" w:styleId="122">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123">
    <w:name w:val=" Char Char1 Char"/>
    <w:basedOn w:val="1"/>
    <w:qFormat/>
    <w:uiPriority w:val="0"/>
    <w:rPr>
      <w:rFonts w:ascii="Tahoma" w:hAnsi="Tahoma"/>
      <w:sz w:val="24"/>
      <w:szCs w:val="24"/>
    </w:rPr>
  </w:style>
  <w:style w:type="paragraph" w:customStyle="1" w:styleId="124">
    <w:name w:val="简单回函地址"/>
    <w:basedOn w:val="1"/>
    <w:qFormat/>
    <w:uiPriority w:val="0"/>
    <w:pPr>
      <w:adjustRightInd w:val="0"/>
      <w:snapToGrid w:val="0"/>
      <w:spacing w:line="360" w:lineRule="auto"/>
    </w:pPr>
    <w:rPr>
      <w:sz w:val="24"/>
    </w:rPr>
  </w:style>
  <w:style w:type="paragraph" w:customStyle="1" w:styleId="125">
    <w:name w:val="可研正文"/>
    <w:basedOn w:val="22"/>
    <w:qFormat/>
    <w:uiPriority w:val="0"/>
    <w:pPr>
      <w:adjustRightInd w:val="0"/>
      <w:snapToGrid w:val="0"/>
      <w:spacing w:line="440" w:lineRule="exact"/>
      <w:ind w:firstLine="567"/>
    </w:pPr>
    <w:rPr>
      <w:sz w:val="28"/>
    </w:rPr>
  </w:style>
  <w:style w:type="paragraph" w:customStyle="1" w:styleId="126">
    <w:name w:val="表头样式"/>
    <w:basedOn w:val="1"/>
    <w:qFormat/>
    <w:uiPriority w:val="0"/>
    <w:pPr>
      <w:autoSpaceDE w:val="0"/>
      <w:autoSpaceDN w:val="0"/>
      <w:adjustRightInd w:val="0"/>
      <w:spacing w:line="360" w:lineRule="auto"/>
      <w:jc w:val="left"/>
    </w:pPr>
    <w:rPr>
      <w:b/>
      <w:kern w:val="0"/>
      <w:sz w:val="21"/>
    </w:rPr>
  </w:style>
  <w:style w:type="paragraph" w:customStyle="1" w:styleId="127">
    <w:name w:val="样式1xz"/>
    <w:basedOn w:val="1"/>
    <w:qFormat/>
    <w:uiPriority w:val="0"/>
    <w:pPr>
      <w:tabs>
        <w:tab w:val="left" w:pos="1050"/>
        <w:tab w:val="right" w:leader="dot" w:pos="8296"/>
      </w:tabs>
    </w:pPr>
    <w:rPr>
      <w:caps/>
      <w:spacing w:val="20"/>
      <w:sz w:val="24"/>
    </w:rPr>
  </w:style>
  <w:style w:type="paragraph" w:customStyle="1" w:styleId="128">
    <w:name w:val="样式3"/>
    <w:basedOn w:val="2"/>
    <w:next w:val="2"/>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129">
    <w:name w:val="关键词"/>
    <w:basedOn w:val="1"/>
    <w:next w:val="1"/>
    <w:qFormat/>
    <w:uiPriority w:val="0"/>
    <w:pPr>
      <w:spacing w:line="360" w:lineRule="auto"/>
    </w:pPr>
    <w:rPr>
      <w:rFonts w:eastAsia="黑体"/>
      <w:sz w:val="20"/>
    </w:rPr>
  </w:style>
  <w:style w:type="paragraph" w:customStyle="1" w:styleId="13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31">
    <w:name w:val=" Char Char Char Char Char Char Char Char Char Char Char Char Char Char Char Char"/>
    <w:basedOn w:val="1"/>
    <w:qFormat/>
    <w:uiPriority w:val="0"/>
    <w:pPr>
      <w:tabs>
        <w:tab w:val="left" w:pos="360"/>
      </w:tabs>
    </w:pPr>
    <w:rPr>
      <w:sz w:val="24"/>
    </w:rPr>
  </w:style>
  <w:style w:type="paragraph" w:customStyle="1" w:styleId="132">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33">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4">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3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36">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37">
    <w:name w:val="_"/>
    <w:basedOn w:val="1"/>
    <w:qFormat/>
    <w:uiPriority w:val="0"/>
    <w:pPr>
      <w:adjustRightInd w:val="0"/>
      <w:spacing w:line="360" w:lineRule="auto"/>
      <w:ind w:left="480" w:firstLine="200" w:firstLineChars="200"/>
      <w:textAlignment w:val="baseline"/>
    </w:pPr>
    <w:rPr>
      <w:kern w:val="0"/>
      <w:sz w:val="24"/>
    </w:rPr>
  </w:style>
  <w:style w:type="paragraph" w:customStyle="1" w:styleId="138">
    <w:name w:val="1.正文"/>
    <w:basedOn w:val="1"/>
    <w:qFormat/>
    <w:uiPriority w:val="0"/>
    <w:pPr>
      <w:spacing w:line="360" w:lineRule="auto"/>
      <w:ind w:left="540" w:leftChars="225" w:firstLine="540" w:firstLineChars="225"/>
    </w:pPr>
    <w:rPr>
      <w:sz w:val="24"/>
    </w:rPr>
  </w:style>
  <w:style w:type="paragraph" w:customStyle="1" w:styleId="139">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4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41">
    <w:name w:val="表格文本"/>
    <w:qFormat/>
    <w:uiPriority w:val="0"/>
    <w:pPr>
      <w:tabs>
        <w:tab w:val="decimal" w:pos="0"/>
      </w:tabs>
    </w:pPr>
    <w:rPr>
      <w:rFonts w:ascii="Arial" w:hAnsi="Arial" w:eastAsia="宋体" w:cs="Times New Roman"/>
      <w:sz w:val="21"/>
      <w:lang w:val="en-US" w:eastAsia="zh-CN" w:bidi="ar-SA"/>
    </w:rPr>
  </w:style>
  <w:style w:type="paragraph" w:customStyle="1" w:styleId="142">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43">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44">
    <w:name w:val="二级条标题"/>
    <w:basedOn w:val="117"/>
    <w:next w:val="119"/>
    <w:qFormat/>
    <w:uiPriority w:val="0"/>
    <w:pPr>
      <w:ind w:left="840"/>
      <w:outlineLvl w:val="3"/>
    </w:pPr>
  </w:style>
  <w:style w:type="paragraph" w:customStyle="1" w:styleId="145">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46">
    <w:name w:val="正文表格"/>
    <w:basedOn w:val="1"/>
    <w:qFormat/>
    <w:uiPriority w:val="0"/>
    <w:pPr>
      <w:adjustRightInd w:val="0"/>
      <w:spacing w:before="40" w:beforeLines="0" w:beforeAutospacing="0" w:after="40" w:afterLines="0" w:afterAutospacing="0"/>
    </w:pPr>
    <w:rPr>
      <w:sz w:val="24"/>
    </w:rPr>
  </w:style>
  <w:style w:type="paragraph" w:customStyle="1" w:styleId="147">
    <w:name w:val="表号"/>
    <w:basedOn w:val="1"/>
    <w:qFormat/>
    <w:uiPriority w:val="0"/>
    <w:pPr>
      <w:numPr>
        <w:ilvl w:val="0"/>
        <w:numId w:val="9"/>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48">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49">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50">
    <w:name w:val="样式 正文首行缩进 2 + 首行缩进:  2 字符"/>
    <w:basedOn w:val="1"/>
    <w:qFormat/>
    <w:uiPriority w:val="0"/>
    <w:pPr>
      <w:numPr>
        <w:ilvl w:val="0"/>
        <w:numId w:val="10"/>
      </w:numPr>
      <w:adjustRightInd w:val="0"/>
      <w:snapToGrid w:val="0"/>
      <w:spacing w:line="360" w:lineRule="auto"/>
    </w:pPr>
    <w:rPr>
      <w:rFonts w:ascii="Arial" w:hAnsi="Arial"/>
      <w:b/>
      <w:sz w:val="24"/>
    </w:rPr>
  </w:style>
  <w:style w:type="paragraph" w:customStyle="1" w:styleId="151">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52">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3">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54">
    <w:name w:val="bt"/>
    <w:basedOn w:val="1"/>
    <w:next w:val="2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55">
    <w:name w:val="文本1"/>
    <w:basedOn w:val="1"/>
    <w:qFormat/>
    <w:uiPriority w:val="0"/>
    <w:pPr>
      <w:adjustRightInd w:val="0"/>
      <w:spacing w:line="312" w:lineRule="atLeast"/>
      <w:jc w:val="center"/>
      <w:textAlignment w:val="baseline"/>
    </w:pPr>
    <w:rPr>
      <w:kern w:val="0"/>
      <w:sz w:val="18"/>
    </w:rPr>
  </w:style>
  <w:style w:type="paragraph" w:customStyle="1" w:styleId="156">
    <w:name w:val="af"/>
    <w:basedOn w:val="1"/>
    <w:qFormat/>
    <w:uiPriority w:val="0"/>
    <w:pPr>
      <w:widowControl/>
      <w:spacing w:line="300" w:lineRule="atLeast"/>
      <w:jc w:val="left"/>
    </w:pPr>
    <w:rPr>
      <w:rFonts w:ascii="宋体" w:hAnsi="宋体"/>
      <w:kern w:val="0"/>
      <w:sz w:val="18"/>
    </w:rPr>
  </w:style>
  <w:style w:type="paragraph" w:customStyle="1" w:styleId="157">
    <w:name w:val="_Style 128"/>
    <w:qFormat/>
    <w:uiPriority w:val="0"/>
    <w:rPr>
      <w:rFonts w:ascii="Times New Roman" w:hAnsi="Times New Roman" w:eastAsia="宋体" w:cs="Times New Roman"/>
      <w:kern w:val="2"/>
      <w:sz w:val="21"/>
      <w:lang w:val="en-US" w:eastAsia="zh-CN" w:bidi="ar-SA"/>
    </w:rPr>
  </w:style>
  <w:style w:type="paragraph" w:customStyle="1" w:styleId="158">
    <w:name w:val="Table Text Char Char Char"/>
    <w:link w:val="234"/>
    <w:qFormat/>
    <w:uiPriority w:val="0"/>
    <w:pPr>
      <w:snapToGrid w:val="0"/>
      <w:spacing w:before="80" w:after="80"/>
    </w:pPr>
    <w:rPr>
      <w:rFonts w:ascii="Arial" w:hAnsi="Arial" w:eastAsia="宋体" w:cs="Times New Roman"/>
      <w:kern w:val="2"/>
      <w:sz w:val="18"/>
      <w:lang w:val="en-US" w:eastAsia="zh-CN" w:bidi="ar-SA"/>
    </w:rPr>
  </w:style>
  <w:style w:type="paragraph" w:customStyle="1" w:styleId="159">
    <w:name w:val="Table Text"/>
    <w:link w:val="206"/>
    <w:qFormat/>
    <w:uiPriority w:val="0"/>
    <w:pPr>
      <w:snapToGrid w:val="0"/>
      <w:spacing w:before="80" w:after="80"/>
    </w:pPr>
    <w:rPr>
      <w:rFonts w:ascii="Arial" w:hAnsi="Arial" w:eastAsia="宋体" w:cs="Times New Roman"/>
      <w:kern w:val="2"/>
      <w:sz w:val="18"/>
      <w:lang w:val="en-US" w:eastAsia="zh-CN" w:bidi="ar-SA"/>
    </w:rPr>
  </w:style>
  <w:style w:type="paragraph" w:customStyle="1" w:styleId="160">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61">
    <w:name w:val="表格内文字"/>
    <w:basedOn w:val="30"/>
    <w:qFormat/>
    <w:uiPriority w:val="0"/>
    <w:pPr>
      <w:adjustRightInd w:val="0"/>
    </w:pPr>
    <w:rPr>
      <w:color w:val="000000"/>
      <w:lang w:val="en-GB"/>
    </w:rPr>
  </w:style>
  <w:style w:type="paragraph" w:customStyle="1" w:styleId="162">
    <w:name w:val="样式 宋体 五号 行距: 单倍行距"/>
    <w:basedOn w:val="1"/>
    <w:qFormat/>
    <w:uiPriority w:val="0"/>
    <w:pPr>
      <w:adjustRightInd w:val="0"/>
      <w:jc w:val="left"/>
    </w:pPr>
    <w:rPr>
      <w:rFonts w:ascii="宋体" w:hAnsi="宋体"/>
      <w:kern w:val="0"/>
      <w:sz w:val="21"/>
    </w:rPr>
  </w:style>
  <w:style w:type="paragraph" w:customStyle="1" w:styleId="163">
    <w:name w:val="正文 + 三号"/>
    <w:basedOn w:val="1"/>
    <w:qFormat/>
    <w:uiPriority w:val="0"/>
    <w:rPr>
      <w:sz w:val="21"/>
    </w:rPr>
  </w:style>
  <w:style w:type="paragraph" w:customStyle="1" w:styleId="164">
    <w:name w:val="标准正文"/>
    <w:basedOn w:val="23"/>
    <w:qFormat/>
    <w:uiPriority w:val="0"/>
    <w:pPr>
      <w:spacing w:before="60" w:beforeLines="0" w:after="60" w:afterLines="0" w:line="360" w:lineRule="auto"/>
      <w:ind w:left="0" w:firstLine="482"/>
    </w:pPr>
    <w:rPr>
      <w:rFonts w:ascii="Arial" w:hAnsi="Arial"/>
      <w:sz w:val="24"/>
    </w:rPr>
  </w:style>
  <w:style w:type="paragraph" w:customStyle="1" w:styleId="165">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166">
    <w:name w:val="二级列表"/>
    <w:basedOn w:val="167"/>
    <w:next w:val="167"/>
    <w:qFormat/>
    <w:uiPriority w:val="0"/>
    <w:pPr>
      <w:tabs>
        <w:tab w:val="left" w:pos="2120"/>
      </w:tabs>
      <w:ind w:firstLine="0" w:firstLineChars="0"/>
    </w:pPr>
    <w:rPr>
      <w:b/>
    </w:rPr>
  </w:style>
  <w:style w:type="paragraph" w:customStyle="1" w:styleId="167">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68">
    <w:name w:val="样式 样式 首行缩进:  2 字符 + 首行缩进:  2 字符"/>
    <w:basedOn w:val="1"/>
    <w:qFormat/>
    <w:uiPriority w:val="0"/>
    <w:pPr>
      <w:numPr>
        <w:ilvl w:val="0"/>
        <w:numId w:val="11"/>
      </w:numPr>
      <w:tabs>
        <w:tab w:val="clear" w:pos="1230"/>
      </w:tabs>
      <w:spacing w:line="360" w:lineRule="auto"/>
      <w:ind w:firstLine="480" w:firstLineChars="200"/>
    </w:pPr>
    <w:rPr>
      <w:sz w:val="24"/>
    </w:rPr>
  </w:style>
  <w:style w:type="paragraph" w:customStyle="1" w:styleId="169">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70">
    <w:name w:val=" Char Char Char Char Char"/>
    <w:basedOn w:val="1"/>
    <w:qFormat/>
    <w:uiPriority w:val="0"/>
    <w:pPr>
      <w:numPr>
        <w:ilvl w:val="0"/>
        <w:numId w:val="2"/>
      </w:numPr>
      <w:tabs>
        <w:tab w:val="left" w:pos="425"/>
        <w:tab w:val="clear" w:pos="1620"/>
      </w:tabs>
    </w:pPr>
    <w:rPr>
      <w:rFonts w:ascii="Tahoma" w:hAnsi="Tahoma"/>
      <w:sz w:val="24"/>
    </w:rPr>
  </w:style>
  <w:style w:type="paragraph" w:customStyle="1" w:styleId="171">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72">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73">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74">
    <w:name w:val="标书正文:  0.74 厘米"/>
    <w:basedOn w:val="1"/>
    <w:qFormat/>
    <w:uiPriority w:val="0"/>
    <w:pPr>
      <w:snapToGrid w:val="0"/>
      <w:spacing w:line="360" w:lineRule="auto"/>
      <w:ind w:firstLine="420"/>
    </w:pPr>
    <w:rPr>
      <w:sz w:val="24"/>
    </w:rPr>
  </w:style>
  <w:style w:type="paragraph" w:customStyle="1" w:styleId="175">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176">
    <w:name w:val="内容标题"/>
    <w:basedOn w:val="17"/>
    <w:qFormat/>
    <w:uiPriority w:val="0"/>
    <w:rPr>
      <w:rFonts w:ascii="Tahoma" w:hAnsi="Tahoma"/>
      <w:sz w:val="24"/>
    </w:rPr>
  </w:style>
  <w:style w:type="paragraph" w:customStyle="1" w:styleId="177">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78">
    <w:name w:val="样式 行距: 1.5 倍行距1"/>
    <w:basedOn w:val="1"/>
    <w:qFormat/>
    <w:uiPriority w:val="0"/>
    <w:pPr>
      <w:snapToGrid w:val="0"/>
    </w:pPr>
    <w:rPr>
      <w:sz w:val="21"/>
    </w:rPr>
  </w:style>
  <w:style w:type="paragraph" w:customStyle="1" w:styleId="179">
    <w:name w:val="默认段落字体 Para Char Char Char Char Char Char Char"/>
    <w:basedOn w:val="1"/>
    <w:qFormat/>
    <w:uiPriority w:val="0"/>
    <w:rPr>
      <w:rFonts w:ascii="Tahoma" w:hAnsi="Tahoma"/>
      <w:sz w:val="24"/>
    </w:rPr>
  </w:style>
  <w:style w:type="paragraph" w:customStyle="1" w:styleId="180">
    <w:name w:val="1"/>
    <w:basedOn w:val="1"/>
    <w:next w:val="30"/>
    <w:qFormat/>
    <w:uiPriority w:val="0"/>
    <w:rPr>
      <w:rFonts w:ascii="宋体" w:hAnsi="Courier New"/>
      <w:sz w:val="21"/>
    </w:rPr>
  </w:style>
  <w:style w:type="paragraph" w:customStyle="1" w:styleId="181">
    <w:name w:val="Note"/>
    <w:basedOn w:val="1"/>
    <w:qFormat/>
    <w:uiPriority w:val="0"/>
    <w:pPr>
      <w:pBdr>
        <w:top w:val="single" w:color="auto" w:sz="12" w:space="3"/>
        <w:bottom w:val="single" w:color="auto" w:sz="12" w:space="3"/>
      </w:pBdr>
      <w:spacing w:line="360" w:lineRule="auto"/>
    </w:pPr>
    <w:rPr>
      <w:sz w:val="24"/>
    </w:rPr>
  </w:style>
  <w:style w:type="paragraph" w:customStyle="1" w:styleId="182">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183">
    <w:name w:val="样式 正文缩进正文（首行缩进两字）表正文正文非缩进特点标题4段1 + 首行缩进:  2 字符"/>
    <w:basedOn w:val="15"/>
    <w:qFormat/>
    <w:uiPriority w:val="0"/>
    <w:pPr>
      <w:ind w:firstLine="480" w:firstLineChars="200"/>
    </w:pPr>
  </w:style>
  <w:style w:type="paragraph" w:customStyle="1" w:styleId="184">
    <w:name w:val="IN Feature"/>
    <w:next w:val="185"/>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85">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86">
    <w:name w:val="正文1"/>
    <w:basedOn w:val="1"/>
    <w:qFormat/>
    <w:uiPriority w:val="0"/>
    <w:pPr>
      <w:spacing w:line="300" w:lineRule="auto"/>
      <w:ind w:firstLine="200" w:firstLineChars="200"/>
    </w:pPr>
    <w:rPr>
      <w:sz w:val="24"/>
    </w:rPr>
  </w:style>
  <w:style w:type="paragraph" w:customStyle="1" w:styleId="187">
    <w:name w:val=" Char2 Char Char Char Char Char Char"/>
    <w:basedOn w:val="1"/>
    <w:qFormat/>
    <w:uiPriority w:val="0"/>
    <w:rPr>
      <w:rFonts w:ascii="仿宋_GB2312"/>
      <w:b/>
      <w:sz w:val="30"/>
    </w:rPr>
  </w:style>
  <w:style w:type="paragraph" w:customStyle="1" w:styleId="188">
    <w:name w:val="样式4"/>
    <w:basedOn w:val="5"/>
    <w:qFormat/>
    <w:uiPriority w:val="0"/>
    <w:pPr>
      <w:adjustRightInd w:val="0"/>
      <w:snapToGrid w:val="0"/>
    </w:pPr>
  </w:style>
  <w:style w:type="paragraph" w:customStyle="1" w:styleId="189">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190">
    <w:name w:val="样式 标题 1 + 居中 段前: 6 磅 段后: 6 磅 行距: 1.5 倍行距"/>
    <w:basedOn w:val="2"/>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191">
    <w:name w:val="摘要"/>
    <w:basedOn w:val="1"/>
    <w:next w:val="3"/>
    <w:qFormat/>
    <w:uiPriority w:val="0"/>
    <w:pPr>
      <w:spacing w:line="360" w:lineRule="auto"/>
    </w:pPr>
    <w:rPr>
      <w:rFonts w:eastAsia="黑体"/>
      <w:sz w:val="20"/>
    </w:rPr>
  </w:style>
  <w:style w:type="paragraph" w:customStyle="1" w:styleId="192">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93">
    <w:name w:val="首行缩进"/>
    <w:basedOn w:val="1"/>
    <w:qFormat/>
    <w:uiPriority w:val="0"/>
    <w:pPr>
      <w:numPr>
        <w:ilvl w:val="0"/>
        <w:numId w:val="12"/>
      </w:numPr>
      <w:spacing w:line="360" w:lineRule="auto"/>
    </w:pPr>
    <w:rPr>
      <w:rFonts w:eastAsia="仿宋_GB2312"/>
    </w:rPr>
  </w:style>
  <w:style w:type="paragraph" w:customStyle="1" w:styleId="194">
    <w:name w:val=" Char Char 字元 字元 字元 Char Char Char Char"/>
    <w:basedOn w:val="1"/>
    <w:qFormat/>
    <w:uiPriority w:val="0"/>
    <w:pPr>
      <w:adjustRightInd w:val="0"/>
      <w:spacing w:line="360" w:lineRule="auto"/>
    </w:pPr>
    <w:rPr>
      <w:kern w:val="0"/>
      <w:sz w:val="24"/>
    </w:rPr>
  </w:style>
  <w:style w:type="paragraph" w:customStyle="1" w:styleId="195">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98">
    <w:name w:val="Char"/>
    <w:basedOn w:val="1"/>
    <w:qFormat/>
    <w:uiPriority w:val="0"/>
    <w:pPr>
      <w:spacing w:line="240" w:lineRule="atLeast"/>
      <w:ind w:left="420" w:firstLine="420"/>
    </w:pPr>
    <w:rPr>
      <w:kern w:val="0"/>
      <w:sz w:val="21"/>
    </w:rPr>
  </w:style>
  <w:style w:type="paragraph" w:customStyle="1" w:styleId="199">
    <w:name w:val="Char1 Char Char Char"/>
    <w:basedOn w:val="1"/>
    <w:qFormat/>
    <w:uiPriority w:val="0"/>
    <w:rPr>
      <w:rFonts w:ascii="Tahoma" w:hAnsi="Tahoma"/>
      <w:sz w:val="30"/>
    </w:rPr>
  </w:style>
  <w:style w:type="paragraph" w:customStyle="1" w:styleId="200">
    <w:name w:val="表文字"/>
    <w:qFormat/>
    <w:uiPriority w:val="0"/>
    <w:rPr>
      <w:rFonts w:ascii="宋体" w:hAnsi="Times New Roman" w:eastAsia="宋体" w:cs="Times New Roman"/>
      <w:kern w:val="2"/>
      <w:lang w:val="en-US" w:eastAsia="zh-CN" w:bidi="ar-SA"/>
    </w:rPr>
  </w:style>
  <w:style w:type="paragraph" w:customStyle="1" w:styleId="201">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202">
    <w:name w:val="首行缩进 1"/>
    <w:basedOn w:val="1"/>
    <w:qFormat/>
    <w:uiPriority w:val="0"/>
    <w:pPr>
      <w:spacing w:after="120" w:afterLines="0" w:afterAutospacing="0" w:line="360" w:lineRule="auto"/>
      <w:ind w:firstLine="200" w:firstLineChars="200"/>
    </w:pPr>
    <w:rPr>
      <w:sz w:val="24"/>
    </w:rPr>
  </w:style>
  <w:style w:type="paragraph" w:customStyle="1" w:styleId="203">
    <w:name w:val="操作步骤"/>
    <w:basedOn w:val="1"/>
    <w:qFormat/>
    <w:uiPriority w:val="0"/>
    <w:pPr>
      <w:numPr>
        <w:ilvl w:val="0"/>
        <w:numId w:val="13"/>
      </w:numPr>
      <w:autoSpaceDE w:val="0"/>
      <w:autoSpaceDN w:val="0"/>
      <w:adjustRightInd w:val="0"/>
      <w:snapToGrid w:val="0"/>
      <w:spacing w:line="40" w:lineRule="atLeast"/>
      <w:textAlignment w:val="bottom"/>
    </w:pPr>
    <w:rPr>
      <w:rFonts w:ascii="昆仑楷体" w:eastAsia="楷体_GB2312"/>
      <w:kern w:val="0"/>
      <w:sz w:val="21"/>
    </w:rPr>
  </w:style>
  <w:style w:type="character" w:customStyle="1" w:styleId="204">
    <w:name w:val="文字 Char"/>
    <w:link w:val="110"/>
    <w:qFormat/>
    <w:uiPriority w:val="0"/>
    <w:rPr>
      <w:rFonts w:ascii="宋体"/>
      <w:kern w:val="2"/>
      <w:sz w:val="28"/>
    </w:rPr>
  </w:style>
  <w:style w:type="character" w:customStyle="1" w:styleId="205">
    <w:name w:val="title_emph1"/>
    <w:qFormat/>
    <w:uiPriority w:val="0"/>
    <w:rPr>
      <w:rFonts w:hint="default" w:ascii="Arial" w:hAnsi="Arial"/>
      <w:b/>
      <w:sz w:val="20"/>
    </w:rPr>
  </w:style>
  <w:style w:type="character" w:customStyle="1" w:styleId="206">
    <w:name w:val="Table Text Char"/>
    <w:link w:val="159"/>
    <w:qFormat/>
    <w:uiPriority w:val="0"/>
    <w:rPr>
      <w:rFonts w:ascii="Arial" w:hAnsi="Arial"/>
      <w:kern w:val="2"/>
      <w:sz w:val="18"/>
      <w:lang w:val="en-US" w:eastAsia="zh-CN" w:bidi="ar-SA"/>
    </w:rPr>
  </w:style>
  <w:style w:type="character" w:customStyle="1" w:styleId="207">
    <w:name w:val="正文 + 三号 Char"/>
    <w:qFormat/>
    <w:uiPriority w:val="0"/>
    <w:rPr>
      <w:rFonts w:eastAsia="宋体"/>
      <w:kern w:val="2"/>
      <w:sz w:val="21"/>
      <w:lang w:val="en-US" w:eastAsia="zh-CN"/>
    </w:rPr>
  </w:style>
  <w:style w:type="character" w:customStyle="1" w:styleId="208">
    <w:name w:val="H2 Char"/>
    <w:qFormat/>
    <w:uiPriority w:val="0"/>
    <w:rPr>
      <w:rFonts w:ascii="Arial" w:hAnsi="Arial" w:eastAsia="宋体"/>
      <w:kern w:val="2"/>
      <w:sz w:val="28"/>
      <w:lang w:val="en-US" w:eastAsia="zh-CN"/>
    </w:rPr>
  </w:style>
  <w:style w:type="character" w:customStyle="1" w:styleId="209">
    <w:name w:val="top-det1"/>
    <w:qFormat/>
    <w:uiPriority w:val="0"/>
    <w:rPr>
      <w:b/>
      <w:color w:val="000000"/>
    </w:rPr>
  </w:style>
  <w:style w:type="character" w:customStyle="1" w:styleId="210">
    <w:name w:val="未命名11"/>
    <w:qFormat/>
    <w:uiPriority w:val="0"/>
    <w:rPr>
      <w:color w:val="77FFFF"/>
      <w:sz w:val="24"/>
    </w:rPr>
  </w:style>
  <w:style w:type="character" w:customStyle="1" w:styleId="211">
    <w:name w:val="样式 宋体"/>
    <w:qFormat/>
    <w:uiPriority w:val="0"/>
    <w:rPr>
      <w:rFonts w:ascii="宋体" w:hAnsi="宋体" w:eastAsia="宋体"/>
      <w:sz w:val="28"/>
    </w:rPr>
  </w:style>
  <w:style w:type="character" w:customStyle="1" w:styleId="212">
    <w:name w:val="标题 2 Char"/>
    <w:link w:val="3"/>
    <w:qFormat/>
    <w:uiPriority w:val="0"/>
    <w:rPr>
      <w:rFonts w:ascii="Arial" w:hAnsi="Arial" w:eastAsia="黑体"/>
      <w:b/>
      <w:kern w:val="2"/>
      <w:sz w:val="32"/>
    </w:rPr>
  </w:style>
  <w:style w:type="character" w:customStyle="1" w:styleId="213">
    <w:name w:val="标题 3 Char"/>
    <w:link w:val="4"/>
    <w:qFormat/>
    <w:uiPriority w:val="0"/>
    <w:rPr>
      <w:rFonts w:eastAsia="宋体"/>
      <w:b/>
      <w:kern w:val="2"/>
      <w:sz w:val="32"/>
      <w:lang w:val="en-US" w:eastAsia="zh-CN"/>
    </w:rPr>
  </w:style>
  <w:style w:type="character" w:customStyle="1" w:styleId="214">
    <w:name w:val="批注文字 Char"/>
    <w:link w:val="19"/>
    <w:qFormat/>
    <w:uiPriority w:val="0"/>
    <w:rPr>
      <w:sz w:val="24"/>
    </w:rPr>
  </w:style>
  <w:style w:type="character" w:customStyle="1" w:styleId="215">
    <w:name w:val="正文文本缩进 Char"/>
    <w:link w:val="23"/>
    <w:qFormat/>
    <w:uiPriority w:val="0"/>
    <w:rPr>
      <w:kern w:val="2"/>
      <w:sz w:val="44"/>
    </w:rPr>
  </w:style>
  <w:style w:type="character" w:customStyle="1" w:styleId="216">
    <w:name w:val="纯文本 字符"/>
    <w:basedOn w:val="59"/>
    <w:link w:val="30"/>
    <w:qFormat/>
    <w:uiPriority w:val="0"/>
    <w:rPr>
      <w:rFonts w:hint="eastAsia" w:ascii="宋体" w:hAnsi="Courier New" w:eastAsia="宋体" w:cs="宋体"/>
      <w:kern w:val="2"/>
      <w:sz w:val="21"/>
    </w:rPr>
  </w:style>
  <w:style w:type="character" w:customStyle="1" w:styleId="217">
    <w:name w:val="日期 Char"/>
    <w:link w:val="32"/>
    <w:qFormat/>
    <w:uiPriority w:val="0"/>
    <w:rPr>
      <w:kern w:val="2"/>
      <w:sz w:val="28"/>
    </w:rPr>
  </w:style>
  <w:style w:type="character" w:customStyle="1" w:styleId="218">
    <w:name w:val="正文文本缩进 2 Char"/>
    <w:link w:val="33"/>
    <w:qFormat/>
    <w:uiPriority w:val="0"/>
    <w:rPr>
      <w:kern w:val="2"/>
      <w:sz w:val="28"/>
    </w:rPr>
  </w:style>
  <w:style w:type="character" w:customStyle="1" w:styleId="219">
    <w:name w:val="脚注文本 Char"/>
    <w:link w:val="40"/>
    <w:qFormat/>
    <w:uiPriority w:val="0"/>
    <w:rPr>
      <w:kern w:val="2"/>
      <w:sz w:val="18"/>
    </w:rPr>
  </w:style>
  <w:style w:type="character" w:customStyle="1" w:styleId="220">
    <w:name w:val="批注主题 Char"/>
    <w:link w:val="54"/>
    <w:qFormat/>
    <w:uiPriority w:val="0"/>
  </w:style>
  <w:style w:type="character" w:customStyle="1" w:styleId="221">
    <w:name w:val="正文首行缩进 2 Char"/>
    <w:link w:val="56"/>
    <w:qFormat/>
    <w:uiPriority w:val="0"/>
  </w:style>
  <w:style w:type="character" w:customStyle="1" w:styleId="222">
    <w:name w:val=" Char Char7"/>
    <w:qFormat/>
    <w:uiPriority w:val="0"/>
    <w:rPr>
      <w:rFonts w:ascii="宋体" w:hAnsi="宋体" w:eastAsia="宋体"/>
      <w:kern w:val="2"/>
      <w:sz w:val="28"/>
    </w:rPr>
  </w:style>
  <w:style w:type="character" w:customStyle="1" w:styleId="223">
    <w:name w:val=" Char Char5"/>
    <w:qFormat/>
    <w:uiPriority w:val="0"/>
    <w:rPr>
      <w:rFonts w:ascii="Arial" w:hAnsi="Arial" w:eastAsia="宋体"/>
      <w:b/>
      <w:smallCaps/>
      <w:kern w:val="28"/>
      <w:sz w:val="36"/>
      <w:lang w:val="en-US" w:eastAsia="en-US"/>
    </w:rPr>
  </w:style>
  <w:style w:type="character" w:customStyle="1" w:styleId="224">
    <w:name w:val="crowed11"/>
    <w:qFormat/>
    <w:uiPriority w:val="0"/>
    <w:rPr>
      <w:rFonts w:hint="default" w:ascii="_x000B__x000C_" w:hAnsi="_x000B__x000C_"/>
      <w:sz w:val="24"/>
    </w:rPr>
  </w:style>
  <w:style w:type="character" w:customStyle="1" w:styleId="225">
    <w:name w:val=" Char Char3"/>
    <w:qFormat/>
    <w:uiPriority w:val="0"/>
    <w:rPr>
      <w:rFonts w:eastAsia="宋体"/>
      <w:kern w:val="2"/>
      <w:sz w:val="18"/>
      <w:lang w:val="en-US" w:eastAsia="zh-CN"/>
    </w:rPr>
  </w:style>
  <w:style w:type="character" w:customStyle="1" w:styleId="226">
    <w:name w:val="content-white1"/>
    <w:qFormat/>
    <w:uiPriority w:val="0"/>
    <w:rPr>
      <w:rFonts w:ascii="_x000B__x000C_" w:hAnsi="_x000B__x000C_"/>
      <w:color w:val="auto"/>
      <w:sz w:val="18"/>
      <w:u w:val="none"/>
    </w:rPr>
  </w:style>
  <w:style w:type="character" w:customStyle="1" w:styleId="227">
    <w:name w:val=" Char Char6"/>
    <w:qFormat/>
    <w:uiPriority w:val="0"/>
    <w:rPr>
      <w:rFonts w:ascii="仿宋_GB2312" w:eastAsia="仿宋_GB2312"/>
      <w:kern w:val="2"/>
      <w:sz w:val="32"/>
    </w:rPr>
  </w:style>
  <w:style w:type="character" w:customStyle="1" w:styleId="228">
    <w:name w:val="正文文本缩进 2 字符"/>
    <w:qFormat/>
    <w:uiPriority w:val="0"/>
    <w:rPr>
      <w:kern w:val="2"/>
      <w:sz w:val="28"/>
    </w:rPr>
  </w:style>
  <w:style w:type="character" w:customStyle="1" w:styleId="229">
    <w:name w:val="font11"/>
    <w:basedOn w:val="59"/>
    <w:qFormat/>
    <w:uiPriority w:val="0"/>
    <w:rPr>
      <w:rFonts w:hint="eastAsia" w:ascii="宋体" w:hAnsi="宋体" w:eastAsia="宋体" w:cs="宋体"/>
      <w:color w:val="000000"/>
      <w:sz w:val="21"/>
      <w:szCs w:val="21"/>
      <w:u w:val="none"/>
    </w:rPr>
  </w:style>
  <w:style w:type="character" w:customStyle="1" w:styleId="230">
    <w:name w:val="标题 2 字符"/>
    <w:qFormat/>
    <w:uiPriority w:val="0"/>
    <w:rPr>
      <w:rFonts w:ascii="Arial" w:hAnsi="Arial" w:eastAsia="黑体"/>
      <w:b/>
      <w:kern w:val="2"/>
      <w:sz w:val="32"/>
    </w:rPr>
  </w:style>
  <w:style w:type="character" w:customStyle="1" w:styleId="231">
    <w:name w:val=" Char Char2"/>
    <w:qFormat/>
    <w:uiPriority w:val="0"/>
    <w:rPr>
      <w:rFonts w:eastAsia="宋体"/>
      <w:kern w:val="2"/>
      <w:sz w:val="18"/>
      <w:lang w:val="en-US" w:eastAsia="zh-CN"/>
    </w:rPr>
  </w:style>
  <w:style w:type="character" w:customStyle="1" w:styleId="232">
    <w:name w:val="v151"/>
    <w:qFormat/>
    <w:uiPriority w:val="0"/>
    <w:rPr>
      <w:sz w:val="18"/>
    </w:rPr>
  </w:style>
  <w:style w:type="character" w:customStyle="1" w:styleId="233">
    <w:name w:val=" Char Char"/>
    <w:qFormat/>
    <w:uiPriority w:val="0"/>
    <w:rPr>
      <w:rFonts w:ascii="宋体" w:hAnsi="宋体" w:eastAsia="宋体"/>
      <w:kern w:val="2"/>
      <w:sz w:val="24"/>
      <w:lang w:val="en-US" w:eastAsia="zh-CN" w:bidi="ar-SA"/>
    </w:rPr>
  </w:style>
  <w:style w:type="character" w:customStyle="1" w:styleId="234">
    <w:name w:val="Table Text Char Char Char Char"/>
    <w:link w:val="158"/>
    <w:qFormat/>
    <w:uiPriority w:val="0"/>
    <w:rPr>
      <w:rFonts w:ascii="Arial" w:hAnsi="Arial"/>
      <w:kern w:val="2"/>
      <w:sz w:val="18"/>
      <w:lang w:val="en-US" w:eastAsia="zh-CN" w:bidi="ar-SA"/>
    </w:rPr>
  </w:style>
  <w:style w:type="character" w:customStyle="1" w:styleId="235">
    <w:name w:val="标书正文:  0.74 厘米 Char1"/>
    <w:qFormat/>
    <w:uiPriority w:val="0"/>
    <w:rPr>
      <w:rFonts w:eastAsia="宋体"/>
      <w:kern w:val="2"/>
      <w:sz w:val="24"/>
      <w:lang w:val="en-US" w:eastAsia="zh-CN"/>
    </w:rPr>
  </w:style>
  <w:style w:type="character" w:customStyle="1" w:styleId="236">
    <w:name w:val="Table Text Char1 Char"/>
    <w:qFormat/>
    <w:uiPriority w:val="0"/>
    <w:rPr>
      <w:rFonts w:ascii="Arial" w:hAnsi="Arial"/>
      <w:kern w:val="2"/>
      <w:sz w:val="18"/>
      <w:lang w:val="en-US" w:eastAsia="zh-CN" w:bidi="ar-SA"/>
    </w:rPr>
  </w:style>
  <w:style w:type="character" w:customStyle="1" w:styleId="237">
    <w:name w:val=" Char Char4"/>
    <w:qFormat/>
    <w:uiPriority w:val="0"/>
    <w:rPr>
      <w:rFonts w:eastAsia="宋体"/>
      <w:b/>
      <w:kern w:val="2"/>
      <w:sz w:val="21"/>
      <w:lang w:val="en-US" w:eastAsia="zh-CN"/>
    </w:rPr>
  </w:style>
  <w:style w:type="character" w:customStyle="1" w:styleId="238">
    <w:name w:val="Table Heading Char Char"/>
    <w:qFormat/>
    <w:uiPriority w:val="0"/>
    <w:rPr>
      <w:rFonts w:ascii="Arial" w:hAnsi="Arial" w:eastAsia="黑体"/>
      <w:kern w:val="2"/>
      <w:sz w:val="18"/>
      <w:lang w:val="en-US" w:eastAsia="zh-CN"/>
    </w:rPr>
  </w:style>
  <w:style w:type="character" w:customStyle="1" w:styleId="239">
    <w:name w:val="小 Char"/>
    <w:qFormat/>
    <w:uiPriority w:val="0"/>
    <w:rPr>
      <w:rFonts w:ascii="宋体" w:hAnsi="Courier New" w:eastAsia="宋体"/>
      <w:kern w:val="2"/>
      <w:sz w:val="21"/>
      <w:lang w:val="en-US" w:eastAsia="zh-CN" w:bidi="ar-SA"/>
    </w:rPr>
  </w:style>
  <w:style w:type="character" w:customStyle="1" w:styleId="240">
    <w:name w:val="font1"/>
    <w:qFormat/>
    <w:uiPriority w:val="0"/>
    <w:rPr>
      <w:color w:val="000000"/>
      <w:sz w:val="18"/>
    </w:rPr>
  </w:style>
  <w:style w:type="character" w:customStyle="1" w:styleId="241">
    <w:name w:val=" Char Char11"/>
    <w:qFormat/>
    <w:uiPriority w:val="0"/>
    <w:rPr>
      <w:rFonts w:ascii="宋体"/>
      <w:kern w:val="2"/>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36</Pages>
  <Words>6932</Words>
  <Characters>7477</Characters>
  <Lines>170</Lines>
  <Paragraphs>47</Paragraphs>
  <TotalTime>31</TotalTime>
  <ScaleCrop>false</ScaleCrop>
  <LinksUpToDate>false</LinksUpToDate>
  <CharactersWithSpaces>7718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2022-10-16T02:50:00Z</dcterms:created>
  <dc:creator>周媛媛</dc:creator>
  <cp:lastModifiedBy>陈珍华</cp:lastModifiedBy>
  <cp:lastPrinted>2025-06-09T01:46:00Z</cp:lastPrinted>
  <dcterms:modified xsi:type="dcterms:W3CDTF">2026-01-30T03:15:30Z</dcterms:modified>
  <dc:title>竞争性谈判文件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EF18F10EDA9543C4BA35CD6C1D3E0F9D_13</vt:lpwstr>
  </property>
  <property fmtid="{D5CDD505-2E9C-101B-9397-08002B2CF9AE}" pid="4" name="KSOTemplateDocerSaveRecord">
    <vt:lpwstr>eyJoZGlkIjoiOGE4ZDcyNjY3NWUwZmRkYmNiZDk0OTJjNjE4M2Q4YWMiLCJ1c2VySWQiOiI1NDg4NTYzMTgifQ==</vt:lpwstr>
  </property>
</Properties>
</file>